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left"/>
        <w:keepLines/>
        <w:keepNext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</w:p>
    <w:p>
      <w:pPr>
        <w:ind w:firstLine="0"/>
        <w:jc w:val="left"/>
        <w:keepLines/>
        <w:keepNext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</w:p>
    <w:p>
      <w:pPr>
        <w:ind w:firstLine="0"/>
        <w:jc w:val="left"/>
        <w:keepLines/>
        <w:keepNext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</w:p>
    <w:p>
      <w:pPr>
        <w:ind w:firstLine="0"/>
        <w:jc w:val="left"/>
        <w:keepLines/>
        <w:keepNext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</w:p>
    <w:p>
      <w:pPr>
        <w:ind w:firstLine="0"/>
        <w:jc w:val="left"/>
        <w:keepLines/>
        <w:keepNext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</w:p>
    <w:p>
      <w:pPr>
        <w:ind w:firstLine="0"/>
        <w:jc w:val="left"/>
        <w:keepLines/>
        <w:keepNext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bCs/>
          <w:sz w:val="24"/>
          <w:szCs w:val="24"/>
        </w:rPr>
      </w:r>
      <w:r>
        <w:rPr>
          <w:rFonts w:eastAsia="Calibri"/>
          <w:b/>
          <w:bCs/>
          <w:sz w:val="24"/>
          <w:szCs w:val="24"/>
        </w:rPr>
      </w:r>
    </w:p>
    <w:p>
      <w:pPr>
        <w:ind w:left="0" w:right="0" w:firstLine="0"/>
        <w:jc w:val="center"/>
        <w:keepLines/>
        <w:keepNext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Технические требования на выполнение работ</w:t>
      </w: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ind w:firstLine="0"/>
        <w:jc w:val="left"/>
        <w:keepLines/>
        <w:keepNext/>
        <w:rPr>
          <w:rFonts w:eastAsia="Calibri"/>
          <w:b w:val="0"/>
          <w:bCs w:val="0"/>
          <w:i/>
          <w:iCs/>
          <w:sz w:val="24"/>
          <w:szCs w:val="24"/>
        </w:rPr>
      </w:pPr>
      <w:r>
        <w:rPr>
          <w:rFonts w:eastAsia="Calibri"/>
          <w:b w:val="0"/>
          <w:bCs w:val="0"/>
          <w:i/>
          <w:iCs/>
          <w:sz w:val="24"/>
          <w:szCs w:val="24"/>
        </w:rPr>
      </w:r>
      <w:r>
        <w:rPr>
          <w:rFonts w:eastAsia="Calibri"/>
          <w:b w:val="0"/>
          <w:bCs w:val="0"/>
          <w:i/>
          <w:iCs/>
          <w:sz w:val="24"/>
          <w:szCs w:val="24"/>
        </w:rPr>
      </w:r>
      <w:r>
        <w:rPr>
          <w:rFonts w:eastAsia="Calibri"/>
          <w:b w:val="0"/>
          <w:bCs w:val="0"/>
          <w:i/>
          <w:iCs/>
          <w:sz w:val="24"/>
          <w:szCs w:val="24"/>
        </w:rPr>
      </w:r>
    </w:p>
    <w:p>
      <w:pPr>
        <w:jc w:val="center"/>
        <w:keepLines/>
        <w:keepNext/>
        <w:rPr>
          <w:rFonts w:eastAsia="Calibri"/>
          <w:b w:val="0"/>
          <w:bCs w:val="0"/>
          <w:i/>
          <w:iCs/>
          <w:sz w:val="24"/>
          <w:szCs w:val="24"/>
        </w:rPr>
      </w:pPr>
      <w:r>
        <w:rPr>
          <w:rFonts w:eastAsia="Calibri"/>
          <w:b w:val="0"/>
          <w:bCs w:val="0"/>
          <w:i/>
          <w:iCs/>
          <w:sz w:val="24"/>
          <w:szCs w:val="24"/>
        </w:rPr>
      </w:r>
      <w:r>
        <w:rPr>
          <w:rFonts w:eastAsia="Calibri"/>
          <w:b w:val="0"/>
          <w:bCs w:val="0"/>
          <w:i/>
          <w:iCs/>
          <w:sz w:val="24"/>
          <w:szCs w:val="24"/>
        </w:rPr>
        <w:t xml:space="preserve">«</w:t>
      </w:r>
      <w:r>
        <w:rPr>
          <w:rFonts w:eastAsia="Calibri"/>
          <w:b w:val="0"/>
          <w:bCs w:val="0"/>
          <w:i/>
          <w:iCs/>
          <w:sz w:val="24"/>
          <w:szCs w:val="24"/>
        </w:rPr>
        <w:t xml:space="preserve">О</w:t>
      </w:r>
      <w:r>
        <w:rPr>
          <w:rFonts w:eastAsia="Calibri"/>
          <w:b w:val="0"/>
          <w:bCs w:val="0"/>
          <w:i/>
          <w:iCs/>
          <w:sz w:val="24"/>
          <w:szCs w:val="24"/>
        </w:rPr>
        <w:t xml:space="preserve">КПД2 42.21.21.000 Выполнение работ по капитальному ремонту - замена участка паропровода «Спутник» в г. Хабаровске от узла П12.16 в сторону узла П12.09 с переходом пер. Алданский Дн=219х10мм, L=781м, Дн=325х12мм, L=83м, инвентарный  № 00000000000000017193, </w:t>
      </w:r>
      <w:r>
        <w:rPr>
          <w:rFonts w:eastAsia="Calibri"/>
          <w:b w:val="0"/>
          <w:bCs w:val="0"/>
          <w:i/>
          <w:iCs/>
          <w:sz w:val="24"/>
          <w:szCs w:val="24"/>
        </w:rPr>
        <w:t xml:space="preserve">(ППНТСиСПТЭ), Хабаровские тепловые сети </w:t>
      </w:r>
      <w:r>
        <w:rPr>
          <w:rFonts w:eastAsia="Calibri"/>
          <w:b w:val="0"/>
          <w:bCs w:val="0"/>
          <w:i/>
          <w:iCs/>
          <w:sz w:val="24"/>
          <w:szCs w:val="24"/>
        </w:rPr>
      </w:r>
      <w:r>
        <w:rPr>
          <w:rFonts w:eastAsia="Calibri"/>
          <w:b w:val="0"/>
          <w:bCs w:val="0"/>
          <w:i/>
          <w:iCs/>
          <w:sz w:val="24"/>
          <w:szCs w:val="24"/>
        </w:rPr>
      </w:r>
    </w:p>
    <w:p>
      <w:pPr>
        <w:jc w:val="center"/>
        <w:keepLines/>
        <w:keepNext/>
        <w:rPr>
          <w:rFonts w:eastAsia="Calibri"/>
          <w:b w:val="0"/>
          <w:bCs/>
          <w:i/>
          <w:sz w:val="24"/>
          <w:szCs w:val="24"/>
        </w:rPr>
      </w:pPr>
      <w:r>
        <w:rPr>
          <w:rFonts w:eastAsia="Calibri"/>
          <w:b w:val="0"/>
          <w:bCs w:val="0"/>
          <w:i/>
          <w:iCs/>
          <w:sz w:val="24"/>
          <w:szCs w:val="24"/>
        </w:rPr>
        <w:t xml:space="preserve">(ПП: 10.4-Рем-2025-ХТС)</w:t>
      </w:r>
      <w:r>
        <w:rPr>
          <w:rFonts w:eastAsia="Calibri"/>
          <w:b w:val="0"/>
          <w:bCs w:val="0"/>
          <w:i/>
          <w:iCs/>
          <w:sz w:val="24"/>
          <w:szCs w:val="24"/>
        </w:rPr>
        <w:t xml:space="preserve">»</w:t>
      </w:r>
      <w:r>
        <w:rPr>
          <w:rFonts w:eastAsia="Calibri"/>
          <w:b w:val="0"/>
          <w:bCs/>
          <w:i/>
          <w:sz w:val="24"/>
          <w:szCs w:val="24"/>
        </w:rPr>
      </w:r>
      <w:r>
        <w:rPr>
          <w:rFonts w:eastAsia="Calibri"/>
          <w:b w:val="0"/>
          <w:bCs/>
          <w:i/>
          <w:sz w:val="24"/>
          <w:szCs w:val="24"/>
        </w:rPr>
      </w:r>
    </w:p>
    <w:p>
      <w:pPr>
        <w:ind w:firstLine="0"/>
        <w:jc w:val="center"/>
        <w:keepLines/>
        <w:keepNext/>
        <w:spacing w:line="240" w:lineRule="auto"/>
        <w:rPr>
          <w:rFonts w:eastAsia="Calibri"/>
          <w:b w:val="0"/>
          <w:bCs w:val="0"/>
          <w:i/>
          <w:iCs/>
          <w:sz w:val="24"/>
          <w:szCs w:val="24"/>
        </w:rPr>
      </w:pPr>
      <w:r>
        <w:rPr>
          <w:rFonts w:eastAsia="Calibri"/>
          <w:b w:val="0"/>
          <w:bCs w:val="0"/>
          <w:i/>
          <w:iCs/>
          <w:sz w:val="24"/>
          <w:szCs w:val="24"/>
        </w:rPr>
      </w:r>
      <w:r>
        <w:rPr>
          <w:rFonts w:eastAsia="Calibri"/>
          <w:b w:val="0"/>
          <w:bCs w:val="0"/>
          <w:i/>
          <w:iCs/>
          <w:sz w:val="24"/>
          <w:szCs w:val="24"/>
        </w:rPr>
      </w:r>
      <w:r>
        <w:rPr>
          <w:rFonts w:eastAsia="Calibri"/>
          <w:b w:val="0"/>
          <w:bCs w:val="0"/>
          <w:i/>
          <w:iCs/>
          <w:sz w:val="24"/>
          <w:szCs w:val="24"/>
        </w:rPr>
      </w:r>
    </w:p>
    <w:p>
      <w:pPr>
        <w:ind w:firstLine="0"/>
        <w:jc w:val="center"/>
        <w:keepLines/>
        <w:keepNext/>
        <w:spacing w:line="240" w:lineRule="auto"/>
        <w:rPr>
          <w:rFonts w:eastAsia="Calibri"/>
          <w:b/>
          <w:sz w:val="24"/>
          <w:szCs w:val="24"/>
          <w:highlight w:val="white"/>
        </w:rPr>
      </w:pPr>
      <w:r>
        <w:rPr>
          <w:rFonts w:eastAsia="Calibri"/>
          <w:b/>
          <w:sz w:val="24"/>
          <w:szCs w:val="24"/>
          <w:highlight w:val="white"/>
        </w:rPr>
      </w:r>
      <w:r>
        <w:rPr>
          <w:rFonts w:eastAsia="Calibri"/>
          <w:b/>
          <w:sz w:val="24"/>
          <w:szCs w:val="24"/>
          <w:highlight w:val="white"/>
        </w:rPr>
      </w:r>
      <w:r>
        <w:rPr>
          <w:rFonts w:eastAsia="Calibri"/>
          <w:b/>
          <w:sz w:val="24"/>
          <w:szCs w:val="24"/>
          <w:highlight w:val="white"/>
        </w:rPr>
      </w:r>
    </w:p>
    <w:p>
      <w:pPr>
        <w:ind w:firstLine="0"/>
        <w:jc w:val="center"/>
        <w:keepLines/>
        <w:keepNext/>
        <w:spacing w:line="240" w:lineRule="auto"/>
        <w:rPr>
          <w:b/>
          <w:bCs/>
          <w:sz w:val="24"/>
          <w:szCs w:val="24"/>
          <w:highlight w:val="yellow"/>
        </w:rPr>
      </w:pPr>
      <w:r>
        <w:rPr>
          <w:rFonts w:eastAsia="Calibri"/>
          <w:b/>
          <w:bCs/>
          <w:sz w:val="24"/>
          <w:szCs w:val="24"/>
          <w:highlight w:val="white"/>
        </w:rPr>
        <w:t xml:space="preserve">Лот </w:t>
      </w:r>
      <w:r>
        <w:rPr>
          <w:rFonts w:eastAsia="Calibri"/>
          <w:b/>
          <w:bCs/>
          <w:sz w:val="24"/>
          <w:szCs w:val="24"/>
          <w:highlight w:val="white"/>
        </w:rPr>
        <w:t xml:space="preserve">№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white"/>
        </w:rPr>
        <w:t xml:space="preserve">11026005-РЕМ ПРОД-2027-ДГК-ХТС</w:t>
      </w:r>
      <w:r>
        <w:rPr>
          <w:b/>
          <w:bCs/>
          <w:sz w:val="24"/>
          <w:szCs w:val="24"/>
          <w:highlight w:val="yellow"/>
        </w:rPr>
      </w:r>
      <w:r>
        <w:rPr>
          <w:b/>
          <w:bCs/>
          <w:sz w:val="24"/>
          <w:szCs w:val="24"/>
          <w:highlight w:val="yellow"/>
        </w:rPr>
      </w:r>
    </w:p>
    <w:p>
      <w:pPr>
        <w:jc w:val="both"/>
        <w:keepLines/>
        <w:keepNext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r/>
      <w:r/>
    </w:p>
    <w:p>
      <w:r/>
      <w:r/>
    </w:p>
    <w:p>
      <w:r/>
      <w:r/>
    </w:p>
    <w:p>
      <w:pPr>
        <w:jc w:val="left"/>
        <w:keepLines/>
        <w:keepNext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</w:r>
      <w:r>
        <w:rPr>
          <w:rFonts w:eastAsia="Calibri"/>
          <w:b/>
          <w:szCs w:val="24"/>
        </w:rPr>
      </w:r>
      <w:r>
        <w:rPr>
          <w:rFonts w:eastAsia="Calibri"/>
          <w:b/>
          <w:szCs w:val="24"/>
        </w:rPr>
      </w:r>
    </w:p>
    <w:p>
      <w:pPr>
        <w:spacing w:after="160" w:line="259" w:lineRule="auto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br w:type="page" w:clear="all"/>
      </w:r>
      <w:r>
        <w:rPr>
          <w:rFonts w:eastAsia="Calibri"/>
          <w:b/>
          <w:szCs w:val="24"/>
        </w:rPr>
      </w:r>
      <w:r>
        <w:rPr>
          <w:rFonts w:eastAsia="Calibri"/>
          <w:b/>
          <w:szCs w:val="24"/>
        </w:rPr>
      </w:r>
    </w:p>
    <w:p>
      <w:pPr>
        <w:ind w:firstLine="0"/>
        <w:jc w:val="center"/>
        <w:keepLines/>
        <w:keepNext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 xml:space="preserve">СОДЕРЖАНИЕ </w:t>
      </w:r>
      <w:r>
        <w:rPr>
          <w:rFonts w:eastAsia="Calibri"/>
          <w:b/>
          <w:szCs w:val="24"/>
        </w:rPr>
      </w:r>
      <w:r>
        <w:rPr>
          <w:rFonts w:eastAsia="Calibri"/>
          <w:b/>
          <w:szCs w:val="24"/>
        </w:rPr>
      </w:r>
    </w:p>
    <w:p>
      <w:pPr>
        <w:pStyle w:val="989"/>
        <w:spacing w:before="0" w:after="0"/>
        <w:tabs>
          <w:tab w:val="right" w:pos="9912" w:leader="dot"/>
        </w:tabs>
        <w:rPr>
          <w:rFonts w:ascii="Times New Roman" w:hAnsi="Times New Roman" w:eastAsiaTheme="minorEastAsia"/>
          <w:b w:val="0"/>
          <w:bCs w:val="0"/>
          <w:sz w:val="28"/>
          <w:szCs w:val="22"/>
        </w:rPr>
      </w:pPr>
      <w:r>
        <w:rPr>
          <w:rFonts w:ascii="Times New Roman" w:hAnsi="Times New Roman" w:eastAsia="Calibri"/>
          <w:bCs w:val="0"/>
          <w:sz w:val="24"/>
          <w:szCs w:val="24"/>
        </w:rPr>
        <w:fldChar w:fldCharType="begin"/>
      </w:r>
      <w:r>
        <w:rPr>
          <w:rFonts w:ascii="Times New Roman" w:hAnsi="Times New Roman" w:eastAsia="Calibri"/>
          <w:bCs w:val="0"/>
          <w:sz w:val="24"/>
          <w:szCs w:val="24"/>
        </w:rPr>
        <w:instrText xml:space="preserve"> TOC \o "1-3" \h \z \u </w:instrText>
      </w:r>
      <w:r>
        <w:rPr>
          <w:rFonts w:ascii="Times New Roman" w:hAnsi="Times New Roman" w:eastAsia="Calibri"/>
          <w:bCs w:val="0"/>
          <w:sz w:val="24"/>
          <w:szCs w:val="24"/>
        </w:rPr>
        <w:fldChar w:fldCharType="separate"/>
      </w:r>
      <w:hyperlink w:tooltip="#_Toc157784541" w:anchor="_Toc157784541" w:history="1">
        <w:r>
          <w:rPr>
            <w:rStyle w:val="991"/>
            <w:rFonts w:ascii="Times New Roman" w:hAnsi="Times New Roman"/>
            <w:sz w:val="24"/>
          </w:rPr>
          <w:t xml:space="preserve">1. Общие сведения</w:t>
        </w:r>
        <w:r>
          <w:rPr>
            <w:rFonts w:ascii="Times New Roman" w:hAnsi="Times New Roman"/>
            <w:sz w:val="24"/>
          </w:rPr>
          <w:tab/>
        </w:r>
        <w:r>
          <w:rPr>
            <w:rFonts w:ascii="Times New Roman" w:hAnsi="Times New Roman"/>
            <w:sz w:val="24"/>
          </w:rPr>
          <w:fldChar w:fldCharType="begin"/>
        </w:r>
        <w:r>
          <w:rPr>
            <w:rFonts w:ascii="Times New Roman" w:hAnsi="Times New Roman"/>
            <w:sz w:val="24"/>
          </w:rPr>
          <w:instrText xml:space="preserve"> PAGEREF _Toc157784541 \h </w:instrText>
        </w:r>
        <w:r>
          <w:rPr>
            <w:rFonts w:ascii="Times New Roman" w:hAnsi="Times New Roman"/>
            <w:sz w:val="24"/>
          </w:rPr>
        </w:r>
        <w:r>
          <w:rPr>
            <w:rFonts w:ascii="Times New Roman" w:hAnsi="Times New Roman"/>
            <w:sz w:val="24"/>
          </w:rPr>
          <w:fldChar w:fldCharType="separate"/>
        </w:r>
        <w:r>
          <w:rPr>
            <w:rFonts w:ascii="Times New Roman" w:hAnsi="Times New Roman"/>
            <w:sz w:val="24"/>
          </w:rPr>
          <w:t xml:space="preserve">3</w:t>
        </w:r>
        <w:r>
          <w:rPr>
            <w:rFonts w:ascii="Times New Roman" w:hAnsi="Times New Roman"/>
            <w:sz w:val="24"/>
          </w:rPr>
          <w:fldChar w:fldCharType="end"/>
        </w:r>
      </w:hyperlink>
      <w:r>
        <w:rPr>
          <w:rFonts w:ascii="Times New Roman" w:hAnsi="Times New Roman" w:eastAsiaTheme="minorEastAsia"/>
          <w:b w:val="0"/>
          <w:bCs w:val="0"/>
          <w:sz w:val="28"/>
          <w:szCs w:val="22"/>
        </w:rPr>
      </w:r>
      <w:r>
        <w:rPr>
          <w:rFonts w:ascii="Times New Roman" w:hAnsi="Times New Roman" w:eastAsiaTheme="minorEastAsia"/>
          <w:b w:val="0"/>
          <w:bCs w:val="0"/>
          <w:sz w:val="28"/>
          <w:szCs w:val="22"/>
        </w:rPr>
      </w:r>
    </w:p>
    <w:p>
      <w:pPr>
        <w:pStyle w:val="1009"/>
        <w:ind w:left="0"/>
        <w:spacing w:before="0"/>
        <w:tabs>
          <w:tab w:val="right" w:pos="9912" w:leader="dot"/>
        </w:tabs>
        <w:rPr>
          <w:rFonts w:ascii="Times New Roman" w:hAnsi="Times New Roman" w:eastAsiaTheme="minorEastAsia"/>
          <w:i w:val="0"/>
          <w:iCs w:val="0"/>
          <w:sz w:val="28"/>
          <w:szCs w:val="22"/>
        </w:rPr>
      </w:pPr>
      <w:r/>
      <w:hyperlink w:tooltip="#_Toc157784542" w:anchor="_Toc157784542" w:history="1">
        <w:r>
          <w:rPr>
            <w:rStyle w:val="991"/>
            <w:rFonts w:ascii="Times New Roman" w:hAnsi="Times New Roman"/>
            <w:i w:val="0"/>
            <w:sz w:val="24"/>
          </w:rPr>
          <w:t xml:space="preserve">1.1. Обозначения и сокращения</w:t>
        </w:r>
        <w:r>
          <w:rPr>
            <w:rFonts w:ascii="Times New Roman" w:hAnsi="Times New Roman"/>
            <w:i w:val="0"/>
            <w:sz w:val="24"/>
          </w:rPr>
          <w:tab/>
        </w:r>
        <w:r>
          <w:rPr>
            <w:rFonts w:ascii="Times New Roman" w:hAnsi="Times New Roman"/>
            <w:i w:val="0"/>
            <w:sz w:val="24"/>
          </w:rPr>
          <w:fldChar w:fldCharType="begin"/>
        </w:r>
        <w:r>
          <w:rPr>
            <w:rFonts w:ascii="Times New Roman" w:hAnsi="Times New Roman"/>
            <w:i w:val="0"/>
            <w:sz w:val="24"/>
          </w:rPr>
          <w:instrText xml:space="preserve"> PAGEREF _Toc157784542 \h </w:instrText>
        </w:r>
        <w:r>
          <w:rPr>
            <w:rFonts w:ascii="Times New Roman" w:hAnsi="Times New Roman"/>
            <w:i w:val="0"/>
            <w:sz w:val="24"/>
          </w:rPr>
        </w:r>
        <w:r>
          <w:rPr>
            <w:rFonts w:ascii="Times New Roman" w:hAnsi="Times New Roman"/>
            <w:i w:val="0"/>
            <w:sz w:val="24"/>
          </w:rPr>
          <w:fldChar w:fldCharType="separate"/>
        </w:r>
        <w:r>
          <w:rPr>
            <w:rFonts w:ascii="Times New Roman" w:hAnsi="Times New Roman"/>
            <w:i w:val="0"/>
            <w:sz w:val="24"/>
          </w:rPr>
          <w:t xml:space="preserve">3</w:t>
        </w:r>
        <w:r>
          <w:rPr>
            <w:rFonts w:ascii="Times New Roman" w:hAnsi="Times New Roman"/>
            <w:i w:val="0"/>
            <w:sz w:val="24"/>
          </w:rPr>
          <w:fldChar w:fldCharType="end"/>
        </w:r>
      </w:hyperlink>
      <w:r>
        <w:rPr>
          <w:rFonts w:ascii="Times New Roman" w:hAnsi="Times New Roman" w:eastAsiaTheme="minorEastAsia"/>
          <w:i w:val="0"/>
          <w:iCs w:val="0"/>
          <w:sz w:val="28"/>
          <w:szCs w:val="22"/>
        </w:rPr>
      </w:r>
      <w:r>
        <w:rPr>
          <w:rFonts w:ascii="Times New Roman" w:hAnsi="Times New Roman" w:eastAsiaTheme="minorEastAsia"/>
          <w:i w:val="0"/>
          <w:iCs w:val="0"/>
          <w:sz w:val="28"/>
          <w:szCs w:val="22"/>
        </w:rPr>
      </w:r>
    </w:p>
    <w:p>
      <w:pPr>
        <w:pStyle w:val="1009"/>
        <w:ind w:left="0"/>
        <w:spacing w:before="0"/>
        <w:tabs>
          <w:tab w:val="right" w:pos="9912" w:leader="dot"/>
        </w:tabs>
        <w:rPr>
          <w:rFonts w:ascii="Times New Roman" w:hAnsi="Times New Roman" w:eastAsiaTheme="minorEastAsia"/>
          <w:i w:val="0"/>
          <w:iCs w:val="0"/>
          <w:sz w:val="28"/>
          <w:szCs w:val="22"/>
        </w:rPr>
      </w:pPr>
      <w:r/>
      <w:hyperlink w:tooltip="#_Toc157784543" w:anchor="_Toc157784543" w:history="1">
        <w:r>
          <w:rPr>
            <w:rStyle w:val="991"/>
            <w:rFonts w:ascii="Times New Roman" w:hAnsi="Times New Roman"/>
            <w:i w:val="0"/>
            <w:sz w:val="24"/>
          </w:rPr>
          <w:t xml:space="preserve">1.2 Наименование закупаемой продукции</w:t>
        </w:r>
        <w:r>
          <w:rPr>
            <w:rFonts w:ascii="Times New Roman" w:hAnsi="Times New Roman"/>
            <w:i w:val="0"/>
            <w:sz w:val="24"/>
          </w:rPr>
          <w:tab/>
        </w:r>
        <w:r>
          <w:rPr>
            <w:rFonts w:ascii="Times New Roman" w:hAnsi="Times New Roman"/>
            <w:i w:val="0"/>
            <w:sz w:val="24"/>
          </w:rPr>
          <w:fldChar w:fldCharType="begin"/>
        </w:r>
        <w:r>
          <w:rPr>
            <w:rFonts w:ascii="Times New Roman" w:hAnsi="Times New Roman"/>
            <w:i w:val="0"/>
            <w:sz w:val="24"/>
          </w:rPr>
          <w:instrText xml:space="preserve"> PAGEREF _Toc157784543 \h </w:instrText>
        </w:r>
        <w:r>
          <w:rPr>
            <w:rFonts w:ascii="Times New Roman" w:hAnsi="Times New Roman"/>
            <w:i w:val="0"/>
            <w:sz w:val="24"/>
          </w:rPr>
        </w:r>
        <w:r>
          <w:rPr>
            <w:rFonts w:ascii="Times New Roman" w:hAnsi="Times New Roman"/>
            <w:i w:val="0"/>
            <w:sz w:val="24"/>
          </w:rPr>
          <w:fldChar w:fldCharType="separate"/>
        </w:r>
        <w:r>
          <w:rPr>
            <w:rFonts w:ascii="Times New Roman" w:hAnsi="Times New Roman"/>
            <w:i w:val="0"/>
            <w:sz w:val="24"/>
          </w:rPr>
          <w:t xml:space="preserve">3</w:t>
        </w:r>
        <w:r>
          <w:rPr>
            <w:rFonts w:ascii="Times New Roman" w:hAnsi="Times New Roman"/>
            <w:i w:val="0"/>
            <w:sz w:val="24"/>
          </w:rPr>
          <w:fldChar w:fldCharType="end"/>
        </w:r>
      </w:hyperlink>
      <w:r>
        <w:rPr>
          <w:rFonts w:ascii="Times New Roman" w:hAnsi="Times New Roman" w:eastAsiaTheme="minorEastAsia"/>
          <w:i w:val="0"/>
          <w:iCs w:val="0"/>
          <w:sz w:val="28"/>
          <w:szCs w:val="22"/>
        </w:rPr>
      </w:r>
      <w:r>
        <w:rPr>
          <w:rFonts w:ascii="Times New Roman" w:hAnsi="Times New Roman" w:eastAsiaTheme="minorEastAsia"/>
          <w:i w:val="0"/>
          <w:iCs w:val="0"/>
          <w:sz w:val="28"/>
          <w:szCs w:val="22"/>
        </w:rPr>
      </w:r>
    </w:p>
    <w:p>
      <w:pPr>
        <w:pStyle w:val="1009"/>
        <w:ind w:left="0"/>
        <w:spacing w:before="0"/>
        <w:tabs>
          <w:tab w:val="right" w:pos="9912" w:leader="dot"/>
        </w:tabs>
        <w:rPr>
          <w:rFonts w:ascii="Times New Roman" w:hAnsi="Times New Roman" w:eastAsiaTheme="minorEastAsia"/>
          <w:i w:val="0"/>
          <w:iCs w:val="0"/>
          <w:sz w:val="28"/>
          <w:szCs w:val="22"/>
        </w:rPr>
      </w:pPr>
      <w:r/>
      <w:hyperlink w:tooltip="#_Toc157784544" w:anchor="_Toc157784544" w:history="1">
        <w:r>
          <w:rPr>
            <w:rStyle w:val="991"/>
            <w:rFonts w:ascii="Times New Roman" w:hAnsi="Times New Roman"/>
            <w:i w:val="0"/>
            <w:sz w:val="24"/>
          </w:rPr>
          <w:t xml:space="preserve">1.3 Цель выполнения работ</w:t>
        </w:r>
        <w:r>
          <w:rPr>
            <w:rFonts w:ascii="Times New Roman" w:hAnsi="Times New Roman"/>
            <w:i w:val="0"/>
            <w:sz w:val="24"/>
          </w:rPr>
          <w:tab/>
        </w:r>
        <w:r>
          <w:rPr>
            <w:rFonts w:ascii="Times New Roman" w:hAnsi="Times New Roman"/>
            <w:i w:val="0"/>
            <w:sz w:val="24"/>
          </w:rPr>
          <w:fldChar w:fldCharType="begin"/>
        </w:r>
        <w:r>
          <w:rPr>
            <w:rFonts w:ascii="Times New Roman" w:hAnsi="Times New Roman"/>
            <w:i w:val="0"/>
            <w:sz w:val="24"/>
          </w:rPr>
          <w:instrText xml:space="preserve"> PAGEREF _Toc157784544 \h </w:instrText>
        </w:r>
        <w:r>
          <w:rPr>
            <w:rFonts w:ascii="Times New Roman" w:hAnsi="Times New Roman"/>
            <w:i w:val="0"/>
            <w:sz w:val="24"/>
          </w:rPr>
        </w:r>
        <w:r>
          <w:rPr>
            <w:rFonts w:ascii="Times New Roman" w:hAnsi="Times New Roman"/>
            <w:i w:val="0"/>
            <w:sz w:val="24"/>
          </w:rPr>
          <w:fldChar w:fldCharType="separate"/>
        </w:r>
        <w:r>
          <w:rPr>
            <w:rFonts w:ascii="Times New Roman" w:hAnsi="Times New Roman"/>
            <w:i w:val="0"/>
            <w:sz w:val="24"/>
          </w:rPr>
          <w:t xml:space="preserve">3</w:t>
        </w:r>
        <w:r>
          <w:rPr>
            <w:rFonts w:ascii="Times New Roman" w:hAnsi="Times New Roman"/>
            <w:i w:val="0"/>
            <w:sz w:val="24"/>
          </w:rPr>
          <w:fldChar w:fldCharType="end"/>
        </w:r>
      </w:hyperlink>
      <w:r>
        <w:rPr>
          <w:rFonts w:ascii="Times New Roman" w:hAnsi="Times New Roman" w:eastAsiaTheme="minorEastAsia"/>
          <w:i w:val="0"/>
          <w:iCs w:val="0"/>
          <w:sz w:val="28"/>
          <w:szCs w:val="22"/>
        </w:rPr>
      </w:r>
      <w:r>
        <w:rPr>
          <w:rFonts w:ascii="Times New Roman" w:hAnsi="Times New Roman" w:eastAsiaTheme="minorEastAsia"/>
          <w:i w:val="0"/>
          <w:iCs w:val="0"/>
          <w:sz w:val="28"/>
          <w:szCs w:val="22"/>
        </w:rPr>
      </w:r>
    </w:p>
    <w:p>
      <w:pPr>
        <w:pStyle w:val="989"/>
        <w:spacing w:before="0" w:after="0"/>
        <w:tabs>
          <w:tab w:val="right" w:pos="9912" w:leader="dot"/>
        </w:tabs>
        <w:rPr>
          <w:rFonts w:ascii="Times New Roman" w:hAnsi="Times New Roman" w:eastAsiaTheme="minorEastAsia"/>
          <w:b w:val="0"/>
          <w:bCs w:val="0"/>
          <w:sz w:val="28"/>
          <w:szCs w:val="22"/>
        </w:rPr>
      </w:pPr>
      <w:r/>
      <w:hyperlink w:tooltip="#_Toc157784545" w:anchor="_Toc157784545" w:history="1">
        <w:r>
          <w:rPr>
            <w:rStyle w:val="991"/>
            <w:rFonts w:ascii="Times New Roman" w:hAnsi="Times New Roman"/>
            <w:sz w:val="24"/>
          </w:rPr>
          <w:t xml:space="preserve">Таблица 1. Перечень объектов заказчика</w:t>
        </w:r>
        <w:r>
          <w:rPr>
            <w:rFonts w:ascii="Times New Roman" w:hAnsi="Times New Roman"/>
            <w:sz w:val="24"/>
          </w:rPr>
          <w:tab/>
        </w:r>
        <w:r>
          <w:rPr>
            <w:rFonts w:ascii="Times New Roman" w:hAnsi="Times New Roman"/>
            <w:sz w:val="24"/>
          </w:rPr>
          <w:fldChar w:fldCharType="begin"/>
        </w:r>
        <w:r>
          <w:rPr>
            <w:rFonts w:ascii="Times New Roman" w:hAnsi="Times New Roman"/>
            <w:sz w:val="24"/>
          </w:rPr>
          <w:instrText xml:space="preserve"> PAGEREF _Toc157784545 \h </w:instrText>
        </w:r>
        <w:r>
          <w:rPr>
            <w:rFonts w:ascii="Times New Roman" w:hAnsi="Times New Roman"/>
            <w:sz w:val="24"/>
          </w:rPr>
        </w:r>
        <w:r>
          <w:rPr>
            <w:rFonts w:ascii="Times New Roman" w:hAnsi="Times New Roman"/>
            <w:sz w:val="24"/>
          </w:rPr>
          <w:fldChar w:fldCharType="separate"/>
        </w:r>
        <w:r>
          <w:rPr>
            <w:rFonts w:ascii="Times New Roman" w:hAnsi="Times New Roman"/>
            <w:sz w:val="24"/>
          </w:rPr>
          <w:t xml:space="preserve">3</w:t>
        </w:r>
        <w:r>
          <w:rPr>
            <w:rFonts w:ascii="Times New Roman" w:hAnsi="Times New Roman"/>
            <w:sz w:val="24"/>
          </w:rPr>
          <w:fldChar w:fldCharType="end"/>
        </w:r>
      </w:hyperlink>
      <w:r>
        <w:rPr>
          <w:rFonts w:ascii="Times New Roman" w:hAnsi="Times New Roman" w:eastAsiaTheme="minorEastAsia"/>
          <w:b w:val="0"/>
          <w:bCs w:val="0"/>
          <w:sz w:val="28"/>
          <w:szCs w:val="22"/>
        </w:rPr>
      </w:r>
      <w:r>
        <w:rPr>
          <w:rFonts w:ascii="Times New Roman" w:hAnsi="Times New Roman" w:eastAsiaTheme="minorEastAsia"/>
          <w:b w:val="0"/>
          <w:bCs w:val="0"/>
          <w:sz w:val="28"/>
          <w:szCs w:val="22"/>
        </w:rPr>
      </w:r>
    </w:p>
    <w:p>
      <w:pPr>
        <w:pStyle w:val="1009"/>
        <w:ind w:left="0"/>
        <w:jc w:val="both"/>
        <w:spacing w:before="0"/>
        <w:tabs>
          <w:tab w:val="right" w:pos="9912" w:leader="dot"/>
        </w:tabs>
        <w:rPr>
          <w:rFonts w:ascii="Times New Roman" w:hAnsi="Times New Roman" w:eastAsiaTheme="minorEastAsia"/>
          <w:i w:val="0"/>
          <w:iCs w:val="0"/>
          <w:sz w:val="28"/>
          <w:szCs w:val="22"/>
        </w:rPr>
      </w:pPr>
      <w:r/>
      <w:hyperlink w:tooltip="#_Toc157784546" w:anchor="_Toc157784546" w:history="1">
        <w:r>
          <w:rPr>
            <w:rStyle w:val="991"/>
            <w:rFonts w:ascii="Times New Roman" w:hAnsi="Times New Roman"/>
            <w:i w:val="0"/>
            <w:sz w:val="24"/>
          </w:rPr>
          <w:t xml:space="preserve">1.4. 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</w:r>
        <w:r>
          <w:rPr>
            <w:rFonts w:ascii="Times New Roman" w:hAnsi="Times New Roman"/>
            <w:i w:val="0"/>
            <w:sz w:val="24"/>
          </w:rPr>
          <w:tab/>
        </w:r>
        <w:r>
          <w:rPr>
            <w:rFonts w:ascii="Times New Roman" w:hAnsi="Times New Roman"/>
            <w:i w:val="0"/>
            <w:sz w:val="24"/>
          </w:rPr>
          <w:t xml:space="preserve">3</w:t>
        </w:r>
      </w:hyperlink>
      <w:r>
        <w:rPr>
          <w:rFonts w:ascii="Times New Roman" w:hAnsi="Times New Roman" w:eastAsiaTheme="minorEastAsia"/>
          <w:i w:val="0"/>
          <w:iCs w:val="0"/>
          <w:sz w:val="28"/>
          <w:szCs w:val="22"/>
        </w:rPr>
      </w:r>
      <w:r>
        <w:rPr>
          <w:rFonts w:ascii="Times New Roman" w:hAnsi="Times New Roman" w:eastAsiaTheme="minorEastAsia"/>
          <w:i w:val="0"/>
          <w:iCs w:val="0"/>
          <w:sz w:val="28"/>
          <w:szCs w:val="22"/>
        </w:rPr>
      </w:r>
    </w:p>
    <w:p>
      <w:r>
        <w:rPr>
          <w:rFonts w:eastAsia="Tahoma" w:cs="Lohit Devanagari"/>
          <w:b w:val="0"/>
          <w:bCs w:val="0"/>
          <w:sz w:val="24"/>
          <w:szCs w:val="24"/>
        </w:rPr>
        <w:t xml:space="preserve">1.5. И</w:t>
      </w:r>
      <w:r>
        <w:rPr>
          <w:rFonts w:eastAsia="Calibri" w:cs="Lohit Devanagari"/>
          <w:b w:val="0"/>
          <w:bCs w:val="0"/>
          <w:sz w:val="24"/>
          <w:szCs w:val="24"/>
        </w:rPr>
        <w:t xml:space="preserve">ные требования и сведения общего характера</w:t>
      </w:r>
      <w:r>
        <w:rPr>
          <w:b w:val="0"/>
          <w:bCs w:val="0"/>
        </w:rPr>
        <w:t xml:space="preserve">                                                                4</w:t>
      </w:r>
      <w:r>
        <w:rPr>
          <w:rFonts w:eastAsia="Tahoma" w:cs="Lohit Devanagari"/>
          <w:b w:val="0"/>
          <w:bCs w:val="0"/>
          <w:sz w:val="24"/>
          <w:szCs w:val="24"/>
        </w:rPr>
      </w:r>
      <w:r/>
    </w:p>
    <w:p>
      <w:pPr>
        <w:pStyle w:val="989"/>
        <w:contextualSpacing/>
        <w:jc w:val="left"/>
        <w:spacing w:before="0" w:after="0"/>
        <w:tabs>
          <w:tab w:val="right" w:pos="9912" w:leader="dot"/>
        </w:tabs>
        <w:rPr>
          <w:rFonts w:ascii="Times New Roman" w:hAnsi="Times New Roman" w:eastAsiaTheme="minorEastAsia"/>
          <w:b w:val="0"/>
          <w:bCs w:val="0"/>
          <w:sz w:val="28"/>
          <w:szCs w:val="22"/>
        </w:rPr>
        <w:suppressLineNumbers w:val="0"/>
      </w:pPr>
      <w:r/>
      <w:hyperlink w:tooltip="#_Toc157784547" w:anchor="_Toc157784547" w:history="1">
        <w:r>
          <w:rPr>
            <w:rStyle w:val="991"/>
            <w:rFonts w:ascii="Times New Roman" w:hAnsi="Times New Roman"/>
            <w:sz w:val="24"/>
          </w:rPr>
          <w:t xml:space="preserve">2. Требования к продукции</w:t>
        </w:r>
        <w:r>
          <w:rPr>
            <w:rFonts w:ascii="Times New Roman" w:hAnsi="Times New Roman"/>
            <w:sz w:val="24"/>
          </w:rPr>
          <w:tab/>
        </w:r>
        <w:r>
          <w:rPr>
            <w:rFonts w:ascii="Times New Roman" w:hAnsi="Times New Roman"/>
            <w:sz w:val="24"/>
          </w:rPr>
          <w:t xml:space="preserve">5</w:t>
        </w:r>
      </w:hyperlink>
      <w:r>
        <w:rPr>
          <w:rFonts w:ascii="Times New Roman" w:hAnsi="Times New Roman" w:eastAsiaTheme="minorEastAsia"/>
          <w:b w:val="0"/>
          <w:bCs w:val="0"/>
          <w:sz w:val="28"/>
          <w:szCs w:val="22"/>
        </w:rPr>
      </w:r>
      <w:r>
        <w:rPr>
          <w:rFonts w:ascii="Times New Roman" w:hAnsi="Times New Roman" w:eastAsiaTheme="minorEastAsia"/>
          <w:b w:val="0"/>
          <w:bCs w:val="0"/>
          <w:sz w:val="28"/>
          <w:szCs w:val="22"/>
        </w:rPr>
      </w:r>
    </w:p>
    <w:p>
      <w:pPr>
        <w:pStyle w:val="1009"/>
        <w:contextualSpacing/>
        <w:ind w:left="0"/>
        <w:jc w:val="left"/>
        <w:spacing w:before="0"/>
        <w:tabs>
          <w:tab w:val="right" w:pos="9912" w:leader="dot"/>
        </w:tabs>
        <w:rPr>
          <w:rFonts w:ascii="Times New Roman" w:hAnsi="Times New Roman" w:eastAsiaTheme="minorEastAsia"/>
          <w:i w:val="0"/>
          <w:iCs w:val="0"/>
          <w:sz w:val="28"/>
          <w:szCs w:val="22"/>
        </w:rPr>
        <w:suppressLineNumbers w:val="0"/>
      </w:pPr>
      <w:r/>
      <w:hyperlink w:tooltip="#_Toc157784548" w:anchor="_Toc157784548" w:history="1">
        <w:r>
          <w:rPr>
            <w:rStyle w:val="991"/>
            <w:rFonts w:ascii="Times New Roman" w:hAnsi="Times New Roman"/>
            <w:i w:val="0"/>
            <w:sz w:val="24"/>
          </w:rPr>
          <w:t xml:space="preserve">2.1 Требования к объемам и срока</w:t>
        </w:r>
        <w:bookmarkStart w:id="0" w:name="_GoBack"/>
        <w:bookmarkEnd w:id="0"/>
        <w:r>
          <w:rPr>
            <w:rStyle w:val="991"/>
            <w:rFonts w:ascii="Times New Roman" w:hAnsi="Times New Roman"/>
            <w:i w:val="0"/>
            <w:sz w:val="24"/>
          </w:rPr>
          <w:t xml:space="preserve">м выполнения работ</w:t>
        </w:r>
        <w:r>
          <w:rPr>
            <w:rFonts w:ascii="Times New Roman" w:hAnsi="Times New Roman"/>
            <w:i w:val="0"/>
            <w:sz w:val="24"/>
          </w:rPr>
          <w:tab/>
        </w:r>
        <w:r>
          <w:rPr>
            <w:rFonts w:ascii="Times New Roman" w:hAnsi="Times New Roman"/>
            <w:i w:val="0"/>
            <w:sz w:val="24"/>
          </w:rPr>
          <w:t xml:space="preserve">5</w:t>
        </w:r>
      </w:hyperlink>
      <w:r>
        <w:rPr>
          <w:rFonts w:ascii="Times New Roman" w:hAnsi="Times New Roman" w:eastAsiaTheme="minorEastAsia"/>
          <w:i w:val="0"/>
          <w:iCs w:val="0"/>
          <w:sz w:val="28"/>
          <w:szCs w:val="22"/>
        </w:rPr>
      </w:r>
      <w:r>
        <w:rPr>
          <w:rFonts w:ascii="Times New Roman" w:hAnsi="Times New Roman" w:eastAsiaTheme="minorEastAsia"/>
          <w:i w:val="0"/>
          <w:iCs w:val="0"/>
          <w:sz w:val="28"/>
          <w:szCs w:val="22"/>
        </w:rPr>
      </w:r>
    </w:p>
    <w:p>
      <w:pPr>
        <w:pStyle w:val="990"/>
        <w:contextualSpacing/>
        <w:ind w:left="0"/>
        <w:jc w:val="left"/>
        <w:tabs>
          <w:tab w:val="right" w:pos="9912" w:leader="dot"/>
        </w:tabs>
        <w:rPr>
          <w:rFonts w:ascii="Times New Roman" w:hAnsi="Times New Roman" w:eastAsiaTheme="minorEastAsia"/>
          <w:sz w:val="28"/>
          <w:szCs w:val="22"/>
        </w:rPr>
        <w:suppressLineNumbers w:val="0"/>
      </w:pPr>
      <w:r/>
      <w:hyperlink w:tooltip="#_Toc157784549" w:anchor="_Toc157784549" w:history="1">
        <w:r>
          <w:rPr>
            <w:rStyle w:val="991"/>
            <w:rFonts w:ascii="Times New Roman" w:hAnsi="Times New Roman"/>
            <w:sz w:val="24"/>
          </w:rPr>
          <w:t xml:space="preserve">2.1.1 Требования к видам и объемам работ</w:t>
        </w:r>
        <w:r>
          <w:rPr>
            <w:rFonts w:ascii="Times New Roman" w:hAnsi="Times New Roman"/>
            <w:sz w:val="24"/>
          </w:rPr>
          <w:tab/>
        </w:r>
        <w:r>
          <w:rPr>
            <w:rFonts w:ascii="Times New Roman" w:hAnsi="Times New Roman"/>
            <w:sz w:val="24"/>
          </w:rPr>
          <w:t xml:space="preserve">5</w:t>
        </w:r>
      </w:hyperlink>
      <w:r>
        <w:rPr>
          <w:rFonts w:ascii="Times New Roman" w:hAnsi="Times New Roman" w:eastAsiaTheme="minorEastAsia"/>
          <w:sz w:val="28"/>
          <w:szCs w:val="22"/>
        </w:rPr>
      </w:r>
      <w:r>
        <w:rPr>
          <w:rFonts w:ascii="Times New Roman" w:hAnsi="Times New Roman" w:eastAsiaTheme="minorEastAsia"/>
          <w:sz w:val="28"/>
          <w:szCs w:val="22"/>
        </w:rPr>
      </w:r>
    </w:p>
    <w:p>
      <w:pPr>
        <w:pStyle w:val="989"/>
        <w:contextualSpacing/>
        <w:jc w:val="left"/>
        <w:spacing w:before="0" w:after="0"/>
        <w:tabs>
          <w:tab w:val="right" w:pos="9912" w:leader="dot"/>
        </w:tabs>
        <w:rPr>
          <w:rFonts w:ascii="Times New Roman" w:hAnsi="Times New Roman" w:eastAsiaTheme="minorEastAsia"/>
          <w:b w:val="0"/>
          <w:bCs w:val="0"/>
          <w:sz w:val="28"/>
          <w:szCs w:val="22"/>
        </w:rPr>
        <w:suppressLineNumbers w:val="0"/>
      </w:pPr>
      <w:r/>
      <w:hyperlink w:tooltip="#_Toc157784550" w:anchor="_Toc157784550" w:history="1">
        <w:r>
          <w:rPr>
            <w:rStyle w:val="991"/>
            <w:rFonts w:ascii="Times New Roman" w:hAnsi="Times New Roman"/>
            <w:sz w:val="24"/>
          </w:rPr>
          <w:t xml:space="preserve">Таблица 2. Перечень и объем выполняемых работ</w:t>
        </w:r>
        <w:r>
          <w:rPr>
            <w:rFonts w:ascii="Times New Roman" w:hAnsi="Times New Roman"/>
            <w:sz w:val="24"/>
          </w:rPr>
          <w:tab/>
        </w:r>
        <w:r>
          <w:rPr>
            <w:rFonts w:ascii="Times New Roman" w:hAnsi="Times New Roman"/>
            <w:sz w:val="24"/>
          </w:rPr>
          <w:t xml:space="preserve">5</w:t>
        </w:r>
      </w:hyperlink>
      <w:r>
        <w:rPr>
          <w:rFonts w:ascii="Times New Roman" w:hAnsi="Times New Roman" w:eastAsiaTheme="minorEastAsia"/>
          <w:b w:val="0"/>
          <w:bCs w:val="0"/>
          <w:sz w:val="28"/>
          <w:szCs w:val="22"/>
        </w:rPr>
      </w:r>
      <w:r>
        <w:rPr>
          <w:rFonts w:ascii="Times New Roman" w:hAnsi="Times New Roman" w:eastAsiaTheme="minorEastAsia"/>
          <w:b w:val="0"/>
          <w:bCs w:val="0"/>
          <w:sz w:val="28"/>
          <w:szCs w:val="22"/>
        </w:rPr>
      </w:r>
    </w:p>
    <w:p>
      <w:pPr>
        <w:pStyle w:val="990"/>
        <w:contextualSpacing/>
        <w:ind w:left="0"/>
        <w:jc w:val="left"/>
        <w:tabs>
          <w:tab w:val="right" w:pos="9912" w:leader="dot"/>
        </w:tabs>
        <w:rPr>
          <w:rFonts w:ascii="Times New Roman" w:hAnsi="Times New Roman" w:eastAsiaTheme="minorEastAsia"/>
          <w:sz w:val="28"/>
          <w:szCs w:val="22"/>
        </w:rPr>
        <w:suppressLineNumbers w:val="0"/>
      </w:pPr>
      <w:r/>
      <w:hyperlink w:tooltip="#_Toc157784551" w:anchor="_Toc157784551" w:history="1">
        <w:r>
          <w:rPr>
            <w:rStyle w:val="991"/>
            <w:rFonts w:ascii="Times New Roman" w:hAnsi="Times New Roman"/>
            <w:sz w:val="24"/>
          </w:rPr>
          <w:t xml:space="preserve">2.1.2 Требования к срокам выполнения работ</w:t>
        </w:r>
        <w:r>
          <w:rPr>
            <w:rFonts w:ascii="Times New Roman" w:hAnsi="Times New Roman"/>
            <w:sz w:val="24"/>
          </w:rPr>
          <w:tab/>
        </w:r>
        <w:r>
          <w:rPr>
            <w:rFonts w:ascii="Times New Roman" w:hAnsi="Times New Roman"/>
            <w:sz w:val="24"/>
          </w:rPr>
          <w:t xml:space="preserve">5</w:t>
        </w:r>
      </w:hyperlink>
      <w:r>
        <w:rPr>
          <w:rFonts w:ascii="Times New Roman" w:hAnsi="Times New Roman" w:eastAsiaTheme="minorEastAsia"/>
          <w:sz w:val="28"/>
          <w:szCs w:val="22"/>
        </w:rPr>
      </w:r>
      <w:r>
        <w:rPr>
          <w:rFonts w:ascii="Times New Roman" w:hAnsi="Times New Roman" w:eastAsiaTheme="minorEastAsia"/>
          <w:sz w:val="28"/>
          <w:szCs w:val="22"/>
        </w:rPr>
      </w:r>
    </w:p>
    <w:p>
      <w:pPr>
        <w:pStyle w:val="989"/>
        <w:contextualSpacing/>
        <w:jc w:val="left"/>
        <w:spacing w:before="0" w:after="0"/>
        <w:tabs>
          <w:tab w:val="right" w:pos="9912" w:leader="dot"/>
        </w:tabs>
        <w:rPr>
          <w:rFonts w:ascii="Times New Roman" w:hAnsi="Times New Roman" w:eastAsiaTheme="minorEastAsia"/>
          <w:b w:val="0"/>
          <w:bCs w:val="0"/>
          <w:sz w:val="28"/>
          <w:szCs w:val="22"/>
        </w:rPr>
        <w:suppressLineNumbers w:val="0"/>
      </w:pPr>
      <w:r/>
      <w:hyperlink w:tooltip="#_Toc157784552" w:anchor="_Toc157784552" w:history="1">
        <w:r>
          <w:rPr>
            <w:rStyle w:val="991"/>
            <w:rFonts w:ascii="Times New Roman" w:hAnsi="Times New Roman"/>
            <w:sz w:val="24"/>
          </w:rPr>
          <w:t xml:space="preserve">Таблица 3. Требования по срокам выполнения работ</w:t>
        </w:r>
        <w:r>
          <w:rPr>
            <w:rFonts w:ascii="Times New Roman" w:hAnsi="Times New Roman"/>
            <w:sz w:val="24"/>
          </w:rPr>
          <w:tab/>
        </w:r>
        <w:r>
          <w:rPr>
            <w:rFonts w:ascii="Times New Roman" w:hAnsi="Times New Roman"/>
            <w:sz w:val="24"/>
          </w:rPr>
          <w:t xml:space="preserve">5</w:t>
        </w:r>
      </w:hyperlink>
      <w:r>
        <w:rPr>
          <w:rFonts w:ascii="Times New Roman" w:hAnsi="Times New Roman" w:eastAsiaTheme="minorEastAsia"/>
          <w:b w:val="0"/>
          <w:bCs w:val="0"/>
          <w:sz w:val="28"/>
          <w:szCs w:val="22"/>
        </w:rPr>
      </w:r>
      <w:r>
        <w:rPr>
          <w:rFonts w:ascii="Times New Roman" w:hAnsi="Times New Roman" w:eastAsiaTheme="minorEastAsia"/>
          <w:b w:val="0"/>
          <w:bCs w:val="0"/>
          <w:sz w:val="28"/>
          <w:szCs w:val="22"/>
        </w:rPr>
      </w:r>
    </w:p>
    <w:p>
      <w:pPr>
        <w:pStyle w:val="1009"/>
        <w:contextualSpacing/>
        <w:ind w:left="0"/>
        <w:jc w:val="left"/>
        <w:spacing w:before="0"/>
        <w:tabs>
          <w:tab w:val="right" w:pos="9912" w:leader="dot"/>
        </w:tabs>
        <w:rPr>
          <w:rFonts w:ascii="Times New Roman" w:hAnsi="Times New Roman" w:eastAsiaTheme="minorEastAsia"/>
          <w:i w:val="0"/>
          <w:iCs w:val="0"/>
          <w:sz w:val="28"/>
          <w:szCs w:val="22"/>
        </w:rPr>
        <w:suppressLineNumbers w:val="0"/>
      </w:pPr>
      <w:r/>
      <w:hyperlink w:tooltip="#_Toc157784553" w:anchor="_Toc157784553" w:history="1">
        <w:r>
          <w:rPr>
            <w:rFonts w:ascii="Times New Roman" w:hAnsi="Times New Roman"/>
            <w:i w:val="0"/>
            <w:sz w:val="24"/>
          </w:rPr>
        </w:r>
        <w:r>
          <w:rPr>
            <w:rStyle w:val="991"/>
            <w:rFonts w:ascii="Times New Roman" w:hAnsi="Times New Roman"/>
            <w:i w:val="0"/>
            <w:sz w:val="24"/>
          </w:rPr>
          <w:t xml:space="preserve">2.2 Требования к качеству работ</w:t>
        </w:r>
        <w:r>
          <w:rPr>
            <w:rFonts w:ascii="Times New Roman" w:hAnsi="Times New Roman"/>
            <w:i w:val="0"/>
            <w:sz w:val="24"/>
          </w:rPr>
          <w:tab/>
        </w:r>
        <w:r>
          <w:rPr>
            <w:rFonts w:ascii="Times New Roman" w:hAnsi="Times New Roman"/>
            <w:i w:val="0"/>
            <w:sz w:val="24"/>
          </w:rPr>
          <w:t xml:space="preserve">6</w:t>
        </w:r>
      </w:hyperlink>
      <w:r>
        <w:rPr>
          <w:rFonts w:ascii="Times New Roman" w:hAnsi="Times New Roman" w:eastAsiaTheme="minorEastAsia"/>
          <w:i w:val="0"/>
          <w:iCs w:val="0"/>
          <w:sz w:val="28"/>
          <w:szCs w:val="22"/>
        </w:rPr>
      </w:r>
      <w:r>
        <w:rPr>
          <w:rFonts w:ascii="Times New Roman" w:hAnsi="Times New Roman" w:eastAsiaTheme="minorEastAsia"/>
          <w:i w:val="0"/>
          <w:iCs w:val="0"/>
          <w:sz w:val="28"/>
          <w:szCs w:val="22"/>
        </w:rPr>
      </w:r>
    </w:p>
    <w:p>
      <w:pPr>
        <w:pStyle w:val="989"/>
        <w:contextualSpacing/>
        <w:jc w:val="left"/>
        <w:spacing w:before="0" w:after="0"/>
        <w:tabs>
          <w:tab w:val="right" w:pos="9912" w:leader="dot"/>
        </w:tabs>
        <w:rPr>
          <w:rFonts w:ascii="Times New Roman" w:hAnsi="Times New Roman"/>
          <w:sz w:val="24"/>
        </w:rPr>
        <w:suppressLineNumbers w:val="0"/>
      </w:pPr>
      <w:r/>
      <w:hyperlink w:tooltip="#_Toc157784554" w:anchor="_Toc157784554" w:history="1">
        <w:r>
          <w:rPr>
            <w:rStyle w:val="991"/>
            <w:rFonts w:ascii="Times New Roman" w:hAnsi="Times New Roman"/>
            <w:sz w:val="24"/>
          </w:rPr>
          <w:t xml:space="preserve">Таблица 4. Требования к качеству работ</w:t>
        </w:r>
        <w:r>
          <w:rPr>
            <w:rFonts w:ascii="Times New Roman" w:hAnsi="Times New Roman"/>
            <w:sz w:val="24"/>
          </w:rPr>
          <w:tab/>
        </w:r>
        <w:r>
          <w:rPr>
            <w:rFonts w:ascii="Times New Roman" w:hAnsi="Times New Roman"/>
            <w:sz w:val="24"/>
          </w:rPr>
          <w:t xml:space="preserve">6</w:t>
        </w:r>
      </w:hyperlink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pStyle w:val="989"/>
        <w:contextualSpacing/>
        <w:jc w:val="left"/>
        <w:spacing w:before="0" w:after="0"/>
        <w:tabs>
          <w:tab w:val="right" w:pos="9912" w:leader="dot"/>
        </w:tabs>
        <w:rPr>
          <w:rFonts w:ascii="Times New Roman" w:hAnsi="Times New Roman"/>
          <w:sz w:val="24"/>
        </w:rPr>
        <w:suppressLineNumbers w:val="0"/>
      </w:pPr>
      <w:r/>
      <w:hyperlink w:tooltip="#_Toc157784556" w:anchor="_Toc157784556" w:history="1">
        <w:r>
          <w:rPr>
            <w:rStyle w:val="991"/>
            <w:rFonts w:ascii="Times New Roman" w:hAnsi="Times New Roman"/>
            <w:sz w:val="24"/>
          </w:rPr>
          <w:t xml:space="preserve">3. Требования к документации по ценообразованию на этапе за</w:t>
        </w:r>
        <w:r>
          <w:rPr>
            <w:rStyle w:val="991"/>
            <w:rFonts w:ascii="Times New Roman" w:hAnsi="Times New Roman"/>
            <w:sz w:val="24"/>
          </w:rPr>
          <w:t xml:space="preserve">купки                        </w:t>
        </w:r>
        <w:r>
          <w:rPr>
            <w:rStyle w:val="991"/>
            <w:rFonts w:ascii="Times New Roman" w:hAnsi="Times New Roman"/>
            <w:sz w:val="24"/>
          </w:rPr>
          <w:t xml:space="preserve">19</w:t>
        </w:r>
      </w:hyperlink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pStyle w:val="989"/>
        <w:spacing w:before="0" w:after="0"/>
        <w:tabs>
          <w:tab w:val="right" w:pos="9912" w:leader="dot"/>
        </w:tabs>
        <w:rPr>
          <w:rFonts w:ascii="Times New Roman" w:hAnsi="Times New Roman" w:eastAsiaTheme="minorEastAsia"/>
          <w:b w:val="0"/>
          <w:bCs w:val="0"/>
          <w:sz w:val="28"/>
          <w:szCs w:val="22"/>
        </w:rPr>
      </w:pPr>
      <w:r/>
      <w:hyperlink w:tooltip="#_Toc157784557" w:anchor="_Toc157784557" w:history="1">
        <w:r>
          <w:rPr>
            <w:rStyle w:val="991"/>
            <w:rFonts w:ascii="Times New Roman" w:hAnsi="Times New Roman"/>
            <w:sz w:val="24"/>
          </w:rPr>
          <w:t xml:space="preserve">4. Требования к документации по ценообразованию на этапе заключения (исполнения) договора</w:t>
        </w:r>
        <w:r>
          <w:rPr>
            <w:rFonts w:ascii="Times New Roman" w:hAnsi="Times New Roman"/>
            <w:sz w:val="24"/>
          </w:rPr>
          <w:t xml:space="preserve">                                                                                                                        20</w:t>
        </w:r>
      </w:hyperlink>
      <w:r>
        <w:rPr>
          <w:rFonts w:ascii="Times New Roman" w:hAnsi="Times New Roman" w:eastAsiaTheme="minorEastAsia"/>
          <w:b w:val="0"/>
          <w:bCs w:val="0"/>
          <w:sz w:val="28"/>
          <w:szCs w:val="22"/>
        </w:rPr>
      </w:r>
      <w:r>
        <w:rPr>
          <w:rFonts w:ascii="Times New Roman" w:hAnsi="Times New Roman" w:eastAsiaTheme="minorEastAsia"/>
          <w:b w:val="0"/>
          <w:bCs w:val="0"/>
          <w:sz w:val="28"/>
          <w:szCs w:val="22"/>
        </w:rPr>
      </w:r>
    </w:p>
    <w:p>
      <w:pPr>
        <w:pStyle w:val="1009"/>
        <w:ind w:left="0"/>
        <w:spacing w:before="0"/>
        <w:tabs>
          <w:tab w:val="right" w:pos="9912" w:leader="dot"/>
        </w:tabs>
        <w:rPr>
          <w:rFonts w:ascii="Times New Roman" w:hAnsi="Times New Roman" w:eastAsiaTheme="minorEastAsia"/>
          <w:i w:val="0"/>
          <w:iCs w:val="0"/>
          <w:sz w:val="28"/>
          <w:szCs w:val="22"/>
        </w:rPr>
      </w:pPr>
      <w:r/>
      <w:hyperlink w:tooltip="#_Toc157784558" w:anchor="_Toc157784558" w:history="1">
        <w:r>
          <w:rPr>
            <w:rStyle w:val="991"/>
            <w:rFonts w:ascii="Times New Roman" w:hAnsi="Times New Roman"/>
            <w:i w:val="0"/>
            <w:sz w:val="24"/>
          </w:rPr>
          <w:t xml:space="preserve">4.1. Требования к составлению сметной документации (при заключении договора)</w:t>
        </w:r>
        <w:r>
          <w:rPr>
            <w:rFonts w:ascii="Times New Roman" w:hAnsi="Times New Roman"/>
            <w:i w:val="0"/>
            <w:sz w:val="24"/>
          </w:rPr>
          <w:t xml:space="preserve">         20</w:t>
        </w:r>
      </w:hyperlink>
      <w:r>
        <w:rPr>
          <w:rFonts w:ascii="Times New Roman" w:hAnsi="Times New Roman" w:eastAsiaTheme="minorEastAsia"/>
          <w:i w:val="0"/>
          <w:iCs w:val="0"/>
          <w:sz w:val="28"/>
          <w:szCs w:val="22"/>
        </w:rPr>
      </w:r>
      <w:r>
        <w:rPr>
          <w:rFonts w:ascii="Times New Roman" w:hAnsi="Times New Roman" w:eastAsiaTheme="minorEastAsia"/>
          <w:i w:val="0"/>
          <w:iCs w:val="0"/>
          <w:sz w:val="28"/>
          <w:szCs w:val="22"/>
        </w:rPr>
      </w:r>
    </w:p>
    <w:p>
      <w:pPr>
        <w:pStyle w:val="989"/>
        <w:spacing w:before="0" w:after="0"/>
        <w:tabs>
          <w:tab w:val="right" w:pos="9912" w:leader="dot"/>
        </w:tabs>
        <w:rPr>
          <w:rFonts w:ascii="Times New Roman" w:hAnsi="Times New Roman" w:eastAsiaTheme="minorEastAsia"/>
          <w:b w:val="0"/>
          <w:bCs w:val="0"/>
          <w:sz w:val="28"/>
          <w:szCs w:val="22"/>
        </w:rPr>
      </w:pPr>
      <w:r/>
      <w:hyperlink w:tooltip="#_Toc157784559" w:anchor="_Toc157784559" w:history="1">
        <w:r>
          <w:rPr>
            <w:rStyle w:val="991"/>
            <w:rFonts w:ascii="Times New Roman" w:hAnsi="Times New Roman"/>
            <w:sz w:val="24"/>
          </w:rPr>
          <w:t xml:space="preserve">5. Приложения</w:t>
        </w:r>
        <w:r>
          <w:rPr>
            <w:rFonts w:ascii="Times New Roman" w:hAnsi="Times New Roman"/>
            <w:sz w:val="24"/>
          </w:rPr>
          <w:t xml:space="preserve">                                                                                                                           21</w:t>
        </w:r>
      </w:hyperlink>
      <w:r>
        <w:rPr>
          <w:rFonts w:ascii="Times New Roman" w:hAnsi="Times New Roman" w:eastAsiaTheme="minorEastAsia"/>
          <w:b w:val="0"/>
          <w:bCs w:val="0"/>
          <w:sz w:val="28"/>
          <w:szCs w:val="22"/>
        </w:rPr>
      </w:r>
      <w:r>
        <w:rPr>
          <w:rFonts w:ascii="Times New Roman" w:hAnsi="Times New Roman" w:eastAsiaTheme="minorEastAsia"/>
          <w:b w:val="0"/>
          <w:bCs w:val="0"/>
          <w:sz w:val="28"/>
          <w:szCs w:val="22"/>
        </w:rPr>
      </w:r>
    </w:p>
    <w:p>
      <w:pPr>
        <w:jc w:val="center"/>
        <w:keepLines/>
        <w:keepNext/>
        <w:rPr>
          <w:rFonts w:eastAsia="Calibri"/>
          <w:b/>
          <w:szCs w:val="24"/>
        </w:rPr>
      </w:pPr>
      <w:r>
        <w:rPr>
          <w:rFonts w:eastAsia="Calibri"/>
          <w:bCs/>
          <w:szCs w:val="24"/>
        </w:rPr>
        <w:fldChar w:fldCharType="end"/>
      </w:r>
      <w:r>
        <w:rPr>
          <w:rFonts w:eastAsia="Calibri"/>
          <w:b/>
          <w:szCs w:val="24"/>
        </w:rPr>
      </w:r>
      <w:r>
        <w:rPr>
          <w:rFonts w:eastAsia="Calibri"/>
          <w:b/>
          <w:szCs w:val="24"/>
        </w:rPr>
      </w:r>
    </w:p>
    <w:p>
      <w:pPr>
        <w:spacing w:after="160" w:line="259" w:lineRule="auto"/>
        <w:rPr>
          <w:rFonts w:eastAsia="Calibri"/>
          <w:b/>
        </w:rPr>
      </w:pPr>
      <w:r>
        <w:br w:type="page" w:clear="all"/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pStyle w:val="805"/>
      </w:pPr>
      <w:r/>
      <w:bookmarkStart w:id="1" w:name="_Toc157784541"/>
      <w:r>
        <w:t xml:space="preserve">1. Общие сведения</w:t>
      </w:r>
      <w:bookmarkEnd w:id="1"/>
      <w:r/>
      <w:r/>
    </w:p>
    <w:p>
      <w:pPr>
        <w:pStyle w:val="806"/>
      </w:pPr>
      <w:r/>
      <w:bookmarkStart w:id="2" w:name="_Toc157784542"/>
      <w:r>
        <w:t xml:space="preserve">1.1. </w:t>
      </w:r>
      <w:bookmarkStart w:id="3" w:name="_Toc46743505"/>
      <w:r/>
      <w:bookmarkStart w:id="4" w:name="_Toc54646396"/>
      <w:r>
        <w:t xml:space="preserve">Обозначения и сокращения</w:t>
      </w:r>
      <w:bookmarkEnd w:id="2"/>
      <w:r/>
      <w:bookmarkEnd w:id="3"/>
      <w:r/>
      <w:bookmarkEnd w:id="4"/>
      <w:r/>
      <w:r/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</w:trPr>
        <w:tc>
          <w:tcPr>
            <w:shd w:val="clear" w:color="auto" w:fill="auto"/>
            <w:tcW w:w="1785" w:type="dxa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НТД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Нормативно техническая документация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shd w:val="clear" w:color="auto" w:fill="auto"/>
            <w:tcW w:w="1785" w:type="dxa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ОПО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Опасный производственный объект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shd w:val="clear" w:color="auto" w:fill="auto"/>
            <w:tcW w:w="1785" w:type="dxa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ТТ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Технические требования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1785" w:type="dxa"/>
            <w:vMerge w:val="restart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РД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bCs/>
                <w:iCs/>
                <w:szCs w:val="24"/>
                <w:shd w:val="clear" w:color="auto" w:fill="ffffff"/>
              </w:rPr>
              <w:t xml:space="preserve">Рабочая документация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1785" w:type="dxa"/>
            <w:vMerge w:val="restart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bCs/>
                <w:iCs/>
                <w:szCs w:val="24"/>
                <w:shd w:val="clear" w:color="auto" w:fill="ffffff"/>
              </w:rPr>
              <w:t xml:space="preserve">СНиП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rPr>
                <w:bCs/>
                <w:iCs/>
                <w:szCs w:val="24"/>
                <w:shd w:val="clear" w:color="auto" w:fill="ffffff"/>
              </w:rPr>
            </w:pPr>
            <w:r>
              <w:rPr>
                <w:bCs/>
                <w:iCs/>
                <w:szCs w:val="24"/>
                <w:shd w:val="clear" w:color="auto" w:fill="ffffff"/>
              </w:rPr>
              <w:t xml:space="preserve">Санитарные нормы и правила</w:t>
            </w:r>
            <w:r>
              <w:rPr>
                <w:bCs/>
                <w:iCs/>
                <w:szCs w:val="24"/>
                <w:shd w:val="clear" w:color="auto" w:fill="ffffff"/>
              </w:rPr>
            </w:r>
            <w:r>
              <w:rPr>
                <w:bCs/>
                <w:iCs/>
                <w:szCs w:val="24"/>
                <w:shd w:val="clear" w:color="auto" w:fill="ffffff"/>
              </w:rPr>
            </w:r>
          </w:p>
        </w:tc>
      </w:tr>
      <w:tr>
        <w:tblPrEx/>
        <w:trPr/>
        <w:tc>
          <w:tcPr>
            <w:shd w:val="clear" w:color="ffffff" w:fill="ffffff"/>
            <w:tcW w:w="1785" w:type="dxa"/>
            <w:vMerge w:val="restart"/>
            <w:textDirection w:val="lrTb"/>
            <w:noWrap w:val="false"/>
          </w:tcPr>
          <w:p>
            <w:pPr>
              <w:rPr>
                <w:bCs/>
                <w:iCs/>
                <w:szCs w:val="24"/>
                <w:shd w:val="clear" w:color="auto" w:fill="ffffff"/>
              </w:rPr>
            </w:pPr>
            <w:r>
              <w:rPr>
                <w:bCs/>
                <w:iCs/>
                <w:szCs w:val="24"/>
                <w:shd w:val="clear" w:color="auto" w:fill="ffffff"/>
              </w:rPr>
              <w:t xml:space="preserve">МТР</w:t>
            </w:r>
            <w:r>
              <w:rPr>
                <w:bCs/>
                <w:iCs/>
                <w:szCs w:val="24"/>
                <w:shd w:val="clear" w:color="auto" w:fill="ffffff"/>
              </w:rPr>
            </w:r>
            <w:r>
              <w:rPr>
                <w:bCs/>
                <w:iCs/>
                <w:szCs w:val="24"/>
                <w:shd w:val="clear" w:color="auto" w:fill="ffffff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rPr>
                <w:bCs/>
                <w:iCs/>
                <w:szCs w:val="24"/>
                <w:shd w:val="clear" w:color="auto" w:fill="ffffff"/>
              </w:rPr>
            </w:pPr>
            <w:r>
              <w:rPr>
                <w:iCs/>
                <w:szCs w:val="24"/>
              </w:rPr>
              <w:t xml:space="preserve">Материально – технические ресурсы</w:t>
            </w:r>
            <w:r>
              <w:rPr>
                <w:bCs/>
                <w:iCs/>
                <w:szCs w:val="24"/>
                <w:shd w:val="clear" w:color="auto" w:fill="ffffff"/>
              </w:rPr>
            </w:r>
            <w:r>
              <w:rPr>
                <w:bCs/>
                <w:iCs/>
                <w:szCs w:val="24"/>
                <w:shd w:val="clear" w:color="auto" w:fill="ffffff"/>
              </w:rPr>
            </w:r>
          </w:p>
        </w:tc>
      </w:tr>
      <w:tr>
        <w:tblPrEx/>
        <w:trPr/>
        <w:tc>
          <w:tcPr>
            <w:shd w:val="clear" w:color="ffffff" w:fill="ffffff"/>
            <w:tcW w:w="1785" w:type="dxa"/>
            <w:vMerge w:val="restart"/>
            <w:textDirection w:val="lrTb"/>
            <w:noWrap w:val="false"/>
          </w:tcPr>
          <w:p>
            <w:pPr>
              <w:rPr>
                <w:bCs/>
                <w:iCs/>
                <w:szCs w:val="24"/>
                <w:shd w:val="clear" w:color="auto" w:fill="ffffff"/>
              </w:rPr>
            </w:pPr>
            <w:r>
              <w:rPr>
                <w:bCs/>
                <w:iCs/>
                <w:szCs w:val="24"/>
                <w:shd w:val="clear" w:color="auto" w:fill="ffffff"/>
              </w:rPr>
            </w:r>
            <w:r>
              <w:rPr>
                <w:sz w:val="24"/>
                <w:szCs w:val="24"/>
              </w:rPr>
              <w:t xml:space="preserve">ИТР</w:t>
            </w:r>
            <w:r>
              <w:rPr>
                <w:bCs/>
                <w:iCs/>
                <w:szCs w:val="24"/>
                <w:shd w:val="clear" w:color="auto" w:fill="ffffff"/>
              </w:rPr>
            </w:r>
            <w:r>
              <w:rPr>
                <w:bCs/>
                <w:iCs/>
                <w:szCs w:val="24"/>
                <w:shd w:val="clear" w:color="auto" w:fill="ffffff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Инженерно-технические работники;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1785" w:type="dxa"/>
            <w:vMerge w:val="restart"/>
            <w:textDirection w:val="lrTb"/>
            <w:noWrap w:val="false"/>
          </w:tcPr>
          <w:p>
            <w:pPr>
              <w:rPr>
                <w:bCs/>
                <w:iCs/>
                <w:szCs w:val="24"/>
                <w:shd w:val="clear" w:color="auto" w:fill="ffffff"/>
              </w:rPr>
            </w:pPr>
            <w:r>
              <w:rPr>
                <w:bCs/>
                <w:iCs/>
                <w:szCs w:val="24"/>
                <w:shd w:val="clear" w:color="auto" w:fill="ffffff"/>
              </w:rPr>
              <w:t xml:space="preserve">ТОиР</w:t>
            </w:r>
            <w:r>
              <w:rPr>
                <w:bCs/>
                <w:iCs/>
                <w:szCs w:val="24"/>
                <w:shd w:val="clear" w:color="auto" w:fill="ffffff"/>
              </w:rPr>
            </w:r>
            <w:r>
              <w:rPr>
                <w:bCs/>
                <w:iCs/>
                <w:szCs w:val="24"/>
                <w:shd w:val="clear" w:color="auto" w:fill="ffffff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rPr>
                <w:b w:val="0"/>
                <w:bCs w:val="0"/>
                <w:iCs/>
                <w:szCs w:val="24"/>
              </w:rPr>
            </w:pPr>
            <w:r>
              <w:rPr>
                <w:b w:val="0"/>
                <w:bCs w:val="0"/>
                <w:iCs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  <w:t xml:space="preserve">Техническое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  <w:t xml:space="preserve">обслуживание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  <w:t xml:space="preserve">ремонт</w:t>
            </w:r>
            <w:r>
              <w:rPr>
                <w:b w:val="0"/>
                <w:bCs w:val="0"/>
                <w:iCs/>
                <w:szCs w:val="24"/>
              </w:rPr>
            </w:r>
            <w:r>
              <w:rPr>
                <w:b w:val="0"/>
                <w:bCs w:val="0"/>
                <w:iCs/>
                <w:szCs w:val="24"/>
              </w:rPr>
            </w:r>
          </w:p>
        </w:tc>
      </w:tr>
    </w:tbl>
    <w:p>
      <w:pPr>
        <w:pStyle w:val="982"/>
        <w:ind w:left="567"/>
        <w:spacing w:line="360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06"/>
      </w:pPr>
      <w:r/>
      <w:bookmarkStart w:id="5" w:name="_Toc157784543"/>
      <w:r>
        <w:t xml:space="preserve">1.2 Наименование закупаемой продукции</w:t>
      </w:r>
      <w:bookmarkEnd w:id="5"/>
      <w:r/>
      <w:r/>
    </w:p>
    <w:p>
      <w:pPr>
        <w:pStyle w:val="806"/>
        <w:ind w:left="0" w:right="0" w:firstLine="709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  <w:highlight w:val="none"/>
        </w:rPr>
      </w:r>
      <w:r>
        <w:rPr>
          <w:b w:val="0"/>
          <w:bCs w:val="0"/>
          <w:i w:val="0"/>
          <w:iCs w:val="0"/>
          <w:highlight w:val="none"/>
        </w:rPr>
        <w:t xml:space="preserve">«</w:t>
      </w:r>
      <w:r>
        <w:rPr>
          <w:b w:val="0"/>
          <w:bCs w:val="0"/>
          <w:i w:val="0"/>
          <w:iCs w:val="0"/>
          <w:highlight w:val="none"/>
        </w:rPr>
        <w:t xml:space="preserve">ОКПД2 42.21.21.000 Выполнение работ по капитальному ремонту - замена участка паропровода «Спутник» в г. Хабаровске от узла П12.16 в сторону узла П12.09 с переходом пер. Алданский Дн=219х10мм, L=781м, Дн=325х12мм, L=83м, инвентарный № 00000000000000017193, </w:t>
      </w:r>
      <w:r>
        <w:rPr>
          <w:b w:val="0"/>
          <w:bCs w:val="0"/>
          <w:i w:val="0"/>
          <w:iCs w:val="0"/>
          <w:highlight w:val="none"/>
        </w:rPr>
        <w:t xml:space="preserve">(ППНТСиСПТЭ), Хабаровские тепловые сети (ПП: 10.4-Рем-2025-ХТС)</w:t>
      </w:r>
      <w:r>
        <w:rPr>
          <w:b w:val="0"/>
          <w:bCs w:val="0"/>
          <w:i w:val="0"/>
          <w:iCs w:val="0"/>
          <w:highlight w:val="none"/>
        </w:rPr>
        <w:t xml:space="preserve">»</w:t>
      </w:r>
      <w:r>
        <w:rPr>
          <w:b w:val="0"/>
          <w:bCs w:val="0"/>
          <w:i w:val="0"/>
          <w:iCs w:val="0"/>
        </w:rPr>
      </w:r>
      <w:r>
        <w:rPr>
          <w:b w:val="0"/>
          <w:bCs w:val="0"/>
          <w:i w:val="0"/>
          <w:iCs w:val="0"/>
        </w:rPr>
      </w:r>
    </w:p>
    <w:p>
      <w:r/>
      <w:r/>
    </w:p>
    <w:p>
      <w:pPr>
        <w:pStyle w:val="806"/>
        <w:rPr>
          <w:highlight w:val="none"/>
        </w:rPr>
      </w:pPr>
      <w:r/>
      <w:bookmarkStart w:id="6" w:name="_Toc157784544"/>
      <w:r>
        <w:t xml:space="preserve">1.3 Цель выполнения работ</w:t>
      </w:r>
      <w:bookmarkEnd w:id="6"/>
      <w:r>
        <w:rPr>
          <w:highlight w:val="none"/>
        </w:rPr>
      </w:r>
      <w:r>
        <w:rPr>
          <w:highlight w:val="none"/>
        </w:rPr>
      </w:r>
    </w:p>
    <w:p>
      <w:pPr>
        <w:jc w:val="both"/>
        <w:widowControl w:val="off"/>
        <w:tabs>
          <w:tab w:val="left" w:pos="426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white"/>
        </w:rPr>
        <w:t xml:space="preserve">Целью работы является: обеспечение стаби</w:t>
      </w:r>
      <w:r>
        <w:rPr>
          <w:rFonts w:eastAsia="Calibri"/>
          <w:szCs w:val="24"/>
          <w:highlight w:val="white"/>
        </w:rPr>
        <w:t xml:space="preserve">ль</w:t>
      </w:r>
      <w:r>
        <w:rPr>
          <w:rFonts w:eastAsia="Calibri"/>
          <w:szCs w:val="24"/>
          <w:highlight w:val="white"/>
        </w:rPr>
        <w:t xml:space="preserve">ной и бесперебойной работы оборудования потребителей (заводы, фабрики), снижение рисков отказа оборудования, увеличение срока эксплуатации трубопроводов, а также снижение эксплуатационных затрат, снижение непроизводственных (ненормативных) тепловых потерь.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805"/>
        <w:rPr>
          <w:sz w:val="24"/>
        </w:rPr>
      </w:pPr>
      <w:r/>
      <w:bookmarkStart w:id="7" w:name="_Toc54646400"/>
      <w:r/>
      <w:bookmarkStart w:id="8" w:name="_Toc157784545"/>
      <w:r>
        <w:rPr>
          <w:sz w:val="24"/>
        </w:rPr>
        <w:t xml:space="preserve">Таблица 1. Перечень объектов заказчика</w:t>
      </w:r>
      <w:bookmarkEnd w:id="7"/>
      <w:r/>
      <w:bookmarkEnd w:id="8"/>
      <w:r>
        <w:rPr>
          <w:sz w:val="24"/>
        </w:rPr>
      </w:r>
      <w:r>
        <w:rPr>
          <w:sz w:val="24"/>
        </w:rPr>
      </w:r>
    </w:p>
    <w:tbl>
      <w:tblPr>
        <w:tblW w:w="100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134"/>
        <w:gridCol w:w="1134"/>
        <w:gridCol w:w="1134"/>
      </w:tblGrid>
      <w:tr>
        <w:tblPrEx/>
        <w:trPr>
          <w:trHeight w:val="1016"/>
        </w:trPr>
        <w:tc>
          <w:tcPr>
            <w:tcW w:w="562" w:type="dxa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3656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объекта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>
              <w:rPr>
                <w:iCs/>
                <w:sz w:val="24"/>
                <w:szCs w:val="24"/>
              </w:rPr>
              <w:t xml:space="preserve">(место производства работ)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 xml:space="preserve">(в отношении которого выполняются работы)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50"/>
        </w:trPr>
        <w:tc>
          <w:tcPr>
            <w:tcW w:w="562" w:type="dxa"/>
            <w:textDirection w:val="lrTb"/>
            <w:noWrap w:val="false"/>
          </w:tcPr>
          <w:p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W w:w="365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107"/>
        </w:trPr>
        <w:tc>
          <w:tcPr>
            <w:tcW w:w="562" w:type="dxa"/>
            <w:textDirection w:val="lrTb"/>
            <w:noWrap w:val="false"/>
          </w:tcPr>
          <w:p>
            <w:pPr>
              <w:pStyle w:val="982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656" w:type="dxa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</w:t>
            </w: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  <w:t xml:space="preserve">КПД2 42.21.21.000 Выполнение работ по капитальному ремонту - замена участка паропровода «Спутник» в г. Хабаровске от узла П12.16 в сторону узла П12.09 с переходом пер. Алданский Дн=219х10мм, L=781м, Дн=325х12мм, L=83м, инвентарный № 00000000000000017193, </w:t>
            </w:r>
            <w:r>
              <w:rPr>
                <w:sz w:val="24"/>
                <w:szCs w:val="24"/>
              </w:rPr>
              <w:t xml:space="preserve">(ППНТСиСПТЭ), Хабаровские тепловые сети (ПП: 10.4-Рем-2025-ХТС)</w:t>
            </w:r>
            <w:r>
              <w:rPr>
                <w:sz w:val="24"/>
                <w:szCs w:val="24"/>
              </w:rPr>
              <w:t xml:space="preserve">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2693" w:type="dxa"/>
            <w:textDirection w:val="lrTb"/>
            <w:noWrap w:val="false"/>
          </w:tcPr>
          <w:p>
            <w:pPr>
              <w:ind w:firstLine="0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Хабаровский край,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</w:p>
          <w:p>
            <w:pPr>
              <w:ind w:firstLine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г. Хабаровск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от улицы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Центральной, 38 вдоль улицы Центральной до улицы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Урицкого, 21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  <w:highlight w:val="white"/>
              </w:rPr>
            </w:pPr>
            <w:r>
              <w:rPr>
                <w:rFonts w:eastAsia="Tahoma" w:cs="Droid Sans Devanagari"/>
                <w:sz w:val="24"/>
                <w:szCs w:val="24"/>
                <w:highlight w:val="white"/>
              </w:rPr>
              <w:t xml:space="preserve">Паропровод </w:t>
            </w:r>
            <w:r>
              <w:rPr>
                <w:rFonts w:eastAsia="Tahoma" w:cs="Droid Sans Devanagari"/>
                <w:sz w:val="24"/>
                <w:szCs w:val="24"/>
                <w:highlight w:val="white"/>
              </w:rPr>
              <w:t xml:space="preserve">(инв. № </w:t>
            </w:r>
            <w:r>
              <w:rPr>
                <w:rFonts w:eastAsia="Tahoma" w:cs="Droid Sans Devanagari"/>
                <w:sz w:val="24"/>
                <w:szCs w:val="24"/>
                <w:highlight w:val="white"/>
              </w:rPr>
              <w:t xml:space="preserve">00000000000000017193</w:t>
            </w:r>
            <w:r>
              <w:rPr>
                <w:rFonts w:eastAsia="Tahoma" w:cs="Droid Sans Devanagari"/>
                <w:sz w:val="24"/>
                <w:szCs w:val="24"/>
                <w:highlight w:val="white"/>
              </w:rPr>
              <w:t xml:space="preserve">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ind w:firstLine="0"/>
        <w:spacing w:line="360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06"/>
      </w:pPr>
      <w:r/>
      <w:bookmarkStart w:id="9" w:name="_Toc157784546"/>
      <w:r>
        <w:t xml:space="preserve">1.4</w:t>
      </w:r>
      <w:r>
        <w:t xml:space="preserve">. </w:t>
      </w:r>
      <w:bookmarkStart w:id="10" w:name="_Toc46743509"/>
      <w:r/>
      <w:bookmarkStart w:id="11" w:name="_Hlk49857604"/>
      <w:r>
        <w:t xml:space="preserve">Информация в отношении исполнения договора, </w:t>
      </w:r>
      <w:bookmarkStart w:id="12" w:name="_Hlk46492347"/>
      <w:r>
        <w:t xml:space="preserve">которая должна быть учтена при подготовке заявки </w:t>
      </w:r>
      <w:bookmarkEnd w:id="12"/>
      <w:r>
        <w:t xml:space="preserve">(в том числе перечень ресурсов, услуг и документов, предоставляемых заказчиком на этапе исполнения договора)</w:t>
      </w:r>
      <w:bookmarkEnd w:id="9"/>
      <w:r/>
      <w:bookmarkEnd w:id="10"/>
      <w:r/>
      <w:bookmarkEnd w:id="11"/>
      <w:r/>
      <w:r/>
    </w:p>
    <w:p>
      <w:pPr>
        <w:ind w:firstLine="567"/>
        <w:jc w:val="both"/>
        <w:spacing w:before="120" w:after="120" w:line="240" w:lineRule="auto"/>
        <w:widowControl w:val="off"/>
        <w:tabs>
          <w:tab w:val="left" w:pos="426" w:leader="none"/>
        </w:tabs>
        <w:rPr>
          <w:rFonts w:eastAsia="Tahoma" w:cs="Lohit Devanagari"/>
          <w:b/>
          <w:bCs/>
        </w:rPr>
      </w:pPr>
      <w:r>
        <w:rPr>
          <w:rFonts w:eastAsia="Tahoma" w:cs="Lohit Devanagari"/>
          <w:b/>
          <w:bCs/>
          <w:szCs w:val="24"/>
        </w:rPr>
        <w:t xml:space="preserve">1.4.1. </w:t>
      </w:r>
      <w:r>
        <w:rPr>
          <w:b/>
          <w:bCs/>
          <w:highlight w:val="white"/>
        </w:rPr>
        <w:t xml:space="preserve">Заказчик предоставит Подрядчику:</w:t>
      </w:r>
      <w:r>
        <w:rPr>
          <w:rFonts w:eastAsia="Tahoma" w:cs="Lohit Devanagari"/>
          <w:b/>
          <w:bCs/>
        </w:rPr>
      </w:r>
      <w:r>
        <w:rPr>
          <w:rFonts w:eastAsia="Tahoma" w:cs="Lohit Devanagari"/>
          <w:b/>
          <w:bCs/>
        </w:rPr>
      </w:r>
    </w:p>
    <w:p>
      <w:pPr>
        <w:ind w:left="0" w:right="0" w:firstLine="709"/>
        <w:jc w:val="both"/>
        <w:rPr>
          <w:highlight w:val="white"/>
        </w:rPr>
      </w:pPr>
      <w:r>
        <w:t xml:space="preserve">Т</w:t>
      </w:r>
      <w:r>
        <w:t xml:space="preserve">ехническую и иную документацию, содержащую исходные данные для выполнения </w:t>
      </w:r>
      <w:r>
        <w:rPr>
          <w:highlight w:val="white"/>
        </w:rPr>
        <w:t xml:space="preserve">Подрядчиком Работ</w:t>
      </w:r>
      <w:r>
        <w:rPr>
          <w:highlight w:val="white"/>
        </w:rPr>
        <w:t xml:space="preserve"> (п</w:t>
      </w:r>
      <w:r>
        <w:rPr>
          <w:highlight w:val="white"/>
        </w:rPr>
        <w:t xml:space="preserve">осле письменного запроса Подрядчика</w:t>
      </w:r>
      <w:r>
        <w:rPr>
          <w:highlight w:val="white"/>
        </w:rPr>
        <w:t xml:space="preserve">);</w:t>
      </w:r>
      <w:r>
        <w:rPr>
          <w:highlight w:val="white"/>
        </w:rPr>
      </w:r>
      <w:r>
        <w:rPr>
          <w:highlight w:val="white"/>
        </w:rPr>
      </w:r>
    </w:p>
    <w:p>
      <w:pPr>
        <w:ind w:left="850" w:right="0" w:firstLine="0"/>
        <w:jc w:val="both"/>
        <w:rPr>
          <w:highlight w:val="white"/>
        </w:rPr>
      </w:pPr>
      <w:r>
        <w:rPr>
          <w:highlight w:val="none"/>
        </w:rPr>
      </w:r>
      <w:r>
        <w:rPr>
          <w:highlight w:val="white"/>
        </w:rPr>
      </w:r>
      <w:r>
        <w:rPr>
          <w:highlight w:val="white"/>
        </w:rPr>
      </w:r>
    </w:p>
    <w:p>
      <w:pPr>
        <w:contextualSpacing/>
        <w:ind w:firstLine="567"/>
        <w:jc w:val="both"/>
        <w:spacing w:before="120" w:after="120" w:line="240" w:lineRule="auto"/>
        <w:widowControl w:val="off"/>
        <w:tabs>
          <w:tab w:val="left" w:pos="426" w:leader="none"/>
        </w:tabs>
        <w:rPr>
          <w:rFonts w:eastAsia="Tahoma" w:cs="Lohit Devanagari"/>
        </w:rPr>
        <w:suppressLineNumbers w:val="0"/>
      </w:pPr>
      <w:r>
        <w:rPr>
          <w:rFonts w:eastAsia="Tahoma" w:cs="Lohit Devanagari"/>
          <w:szCs w:val="24"/>
        </w:rPr>
      </w:r>
      <w:r>
        <w:rPr>
          <w:rFonts w:eastAsia="Tahoma" w:cs="Lohit Devanagari"/>
        </w:rPr>
      </w:r>
      <w:r>
        <w:rPr>
          <w:rFonts w:eastAsia="Tahoma" w:cs="Lohit Devanagari"/>
        </w:rPr>
      </w:r>
    </w:p>
    <w:p>
      <w:pPr>
        <w:ind w:firstLine="567"/>
        <w:jc w:val="both"/>
        <w:spacing w:after="160" w:line="259" w:lineRule="auto"/>
        <w:rPr>
          <w:rFonts w:eastAsia="Tahoma" w:cs="Lohit Devanagari"/>
          <w:sz w:val="23"/>
          <w:szCs w:val="23"/>
        </w:rPr>
      </w:pPr>
      <w:r>
        <w:rPr>
          <w:rFonts w:eastAsia="Tahoma" w:cs="Lohit Devanagari"/>
          <w:b/>
          <w:sz w:val="24"/>
          <w:szCs w:val="24"/>
        </w:rPr>
        <w:t xml:space="preserve">1.5. И</w:t>
      </w:r>
      <w:r>
        <w:rPr>
          <w:rFonts w:eastAsia="Calibri" w:cs="Lohit Devanagari"/>
          <w:b/>
          <w:bCs/>
          <w:sz w:val="24"/>
          <w:szCs w:val="24"/>
        </w:rPr>
        <w:t xml:space="preserve">ные требования и сведения общего характера</w:t>
      </w:r>
      <w:r>
        <w:rPr>
          <w:rFonts w:eastAsia="Tahoma" w:cs="Lohit Devanagari"/>
          <w:sz w:val="23"/>
          <w:szCs w:val="23"/>
        </w:rPr>
      </w:r>
      <w:r>
        <w:rPr>
          <w:rFonts w:eastAsia="Tahoma" w:cs="Lohit Devanagari"/>
          <w:sz w:val="23"/>
          <w:szCs w:val="23"/>
        </w:rPr>
      </w:r>
    </w:p>
    <w:p>
      <w:pPr>
        <w:ind w:firstLine="567"/>
        <w:jc w:val="both"/>
        <w:spacing w:after="160" w:line="259" w:lineRule="auto"/>
        <w:rPr>
          <w:b/>
          <w:bCs/>
          <w:sz w:val="24"/>
          <w:szCs w:val="24"/>
        </w:rPr>
      </w:pPr>
      <w:r>
        <w:rPr>
          <w:rFonts w:eastAsia="Tahoma" w:cs="Lohit Devanagari"/>
          <w:sz w:val="24"/>
          <w:szCs w:val="24"/>
        </w:rPr>
        <w:t xml:space="preserve">Перед началом выполнения работ Подрядчик должен оформить всю разрешительную документацию на производство земляных работ, согласовывать ее со всеми необходимыми инстанциями. Передать в Управление градостроительства и архитектуры заявку на </w:t>
      </w:r>
      <w:r>
        <w:rPr>
          <w:rFonts w:eastAsia="Tahoma" w:cs="Lohit Devanagari"/>
          <w:sz w:val="24"/>
          <w:szCs w:val="24"/>
        </w:rPr>
        <w:t xml:space="preserve">открытие разрешения (ордера) на производство земляных работ. Подрядчик несёт ответственность за сохранность благоустройства территории, прилегающей к отведённым для производства работ земельных участков, а также за последствия не закрытия разрешения в срок</w:t>
      </w:r>
      <w:r>
        <w:rPr>
          <w:rFonts w:eastAsia="Tahoma" w:cs="Lohit Devanagari"/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567"/>
        <w:jc w:val="both"/>
        <w:spacing w:after="160" w:line="259" w:lineRule="auto"/>
        <w:rPr>
          <w:b/>
          <w:bCs/>
        </w:rPr>
      </w:pPr>
      <w:r>
        <w:rPr>
          <w:b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805"/>
      </w:pPr>
      <w:r/>
      <w:bookmarkStart w:id="14" w:name="_Toc157784547"/>
      <w:r>
        <w:t xml:space="preserve">2. Требования к продукции</w:t>
      </w:r>
      <w:bookmarkEnd w:id="14"/>
      <w:r/>
      <w:r/>
    </w:p>
    <w:p>
      <w:pPr>
        <w:pStyle w:val="806"/>
      </w:pPr>
      <w:r/>
      <w:bookmarkStart w:id="15" w:name="_Toc157784548"/>
      <w:r>
        <w:t xml:space="preserve">2.1 Требования к объемам и срокам выполнения работ</w:t>
      </w:r>
      <w:bookmarkEnd w:id="15"/>
      <w:r/>
      <w:r/>
    </w:p>
    <w:p>
      <w:pPr>
        <w:pStyle w:val="807"/>
      </w:pPr>
      <w:r/>
      <w:bookmarkStart w:id="16" w:name="_Toc54646405"/>
      <w:r/>
      <w:bookmarkStart w:id="17" w:name="_Toc157784549"/>
      <w:r>
        <w:t xml:space="preserve">2.1.1 Требования к видам и объемам работ</w:t>
      </w:r>
      <w:bookmarkEnd w:id="16"/>
      <w:r/>
      <w:bookmarkEnd w:id="17"/>
      <w:r/>
      <w:r/>
    </w:p>
    <w:p>
      <w:pPr>
        <w:pStyle w:val="805"/>
        <w:rPr>
          <w:sz w:val="24"/>
        </w:rPr>
      </w:pPr>
      <w:r/>
      <w:bookmarkStart w:id="18" w:name="_Toc157784550"/>
      <w:r>
        <w:rPr>
          <w:sz w:val="24"/>
        </w:rPr>
        <w:t xml:space="preserve">Таблица 2. Перечень и объем выполняемых работ</w:t>
      </w:r>
      <w:bookmarkEnd w:id="18"/>
      <w:r>
        <w:rPr>
          <w:sz w:val="24"/>
        </w:rPr>
      </w:r>
      <w:r>
        <w:rPr>
          <w:sz w:val="24"/>
        </w:rPr>
      </w:r>
    </w:p>
    <w:tbl>
      <w:tblPr>
        <w:tblW w:w="98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5529"/>
        <w:gridCol w:w="1559"/>
        <w:gridCol w:w="1872"/>
      </w:tblGrid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/>
              <w:rPr>
                <w:szCs w:val="24"/>
              </w:rPr>
            </w:pPr>
            <w:r>
              <w:rPr>
                <w:szCs w:val="24"/>
              </w:rPr>
              <w:t xml:space="preserve">№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  <w:p>
            <w:pPr>
              <w:ind w:firstLine="0"/>
              <w:jc w:val="center"/>
              <w:keepNext/>
              <w:rPr>
                <w:szCs w:val="24"/>
              </w:rPr>
            </w:pPr>
            <w:r>
              <w:rPr>
                <w:szCs w:val="24"/>
              </w:rPr>
              <w:t xml:space="preserve">п/п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/>
              <w:rPr>
                <w:szCs w:val="24"/>
              </w:rPr>
            </w:pPr>
            <w:r>
              <w:rPr>
                <w:szCs w:val="24"/>
              </w:rPr>
              <w:t xml:space="preserve">Наименование работ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/>
              <w:rPr>
                <w:szCs w:val="24"/>
              </w:rPr>
            </w:pPr>
            <w:r>
              <w:rPr>
                <w:szCs w:val="24"/>
              </w:rPr>
              <w:t xml:space="preserve">Единица измерения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87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/>
              <w:rPr>
                <w:szCs w:val="24"/>
              </w:rPr>
            </w:pPr>
            <w:r>
              <w:rPr>
                <w:szCs w:val="24"/>
              </w:rPr>
              <w:t xml:space="preserve">Количество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1</w:t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2</w:t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3</w:t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  <w:tc>
          <w:tcPr>
            <w:tcW w:w="1872" w:type="dxa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4</w:t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</w:tr>
      <w:tr>
        <w:tblPrEx/>
        <w:trPr>
          <w:trHeight w:val="1030"/>
        </w:trPr>
        <w:tc>
          <w:tcPr>
            <w:tcW w:w="850" w:type="dxa"/>
            <w:vAlign w:val="center"/>
            <w:textDirection w:val="lrTb"/>
            <w:noWrap w:val="false"/>
          </w:tcPr>
          <w:p>
            <w:pPr>
              <w:pStyle w:val="982"/>
              <w:numPr>
                <w:ilvl w:val="0"/>
                <w:numId w:val="5"/>
              </w:numPr>
              <w:ind w:left="283" w:right="0" w:firstLine="0"/>
              <w:jc w:val="center"/>
            </w:pPr>
            <w:r/>
            <w:r/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ind w:firstLine="0"/>
            </w:pPr>
            <w:r>
              <w:t xml:space="preserve">«</w:t>
            </w:r>
            <w:r>
              <w:t xml:space="preserve">О</w:t>
            </w:r>
            <w:r>
              <w:t xml:space="preserve">КПД2 42.21.21.000 Выполнение работ по капитальному ремонту - замена участка паропровода «Спутник» в г. Хабаровске от узла П12.16 в сторону узла П12.09 с переходом пер. Алданский Дн=219х10мм, L=781м, Дн=325х12мм, L=83м, инвентарный  № 00000000000000017193, </w:t>
            </w:r>
            <w:r>
              <w:t xml:space="preserve">(ППНТСиСПТЭ), Хабаровские тепловые сети (ПП: 10.4-Рем-2025-ХТС)</w:t>
            </w:r>
            <w:r>
              <w:t xml:space="preserve">»</w:t>
            </w:r>
            <w:r/>
          </w:p>
        </w:tc>
        <w:tc>
          <w:tcPr>
            <w:gridSpan w:val="2"/>
            <w:tcW w:w="343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В соответствии с ведомостью объемов работ (Приложение № 2 к настоящим ТТ)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</w:tbl>
    <w:p>
      <w:pPr>
        <w:pStyle w:val="982"/>
        <w:ind w:left="1614"/>
        <w:spacing w:line="360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07"/>
      </w:pPr>
      <w:r/>
      <w:bookmarkStart w:id="19" w:name="_Toc157784551"/>
      <w:r>
        <w:t xml:space="preserve">2.1.2 Требования к срокам выполнения работ</w:t>
      </w:r>
      <w:bookmarkEnd w:id="19"/>
      <w:r/>
      <w:r/>
    </w:p>
    <w:p>
      <w:pPr>
        <w:pStyle w:val="805"/>
        <w:rPr>
          <w:sz w:val="24"/>
        </w:rPr>
      </w:pPr>
      <w:r/>
      <w:bookmarkStart w:id="20" w:name="_Toc50125127"/>
      <w:r/>
      <w:bookmarkStart w:id="21" w:name="_Toc51339697"/>
      <w:r/>
      <w:bookmarkStart w:id="22" w:name="_Toc54646408"/>
      <w:r/>
      <w:bookmarkStart w:id="23" w:name="_Toc157784552"/>
      <w:r>
        <w:rPr>
          <w:sz w:val="24"/>
        </w:rPr>
        <w:t xml:space="preserve">Таблица 3. </w:t>
      </w:r>
      <w:bookmarkStart w:id="24" w:name="_Hlk50465284"/>
      <w:r>
        <w:rPr>
          <w:sz w:val="24"/>
        </w:rPr>
        <w:t xml:space="preserve">Требования по срокам </w:t>
      </w:r>
      <w:bookmarkEnd w:id="20"/>
      <w:r/>
      <w:bookmarkEnd w:id="21"/>
      <w:r/>
      <w:bookmarkEnd w:id="24"/>
      <w:r>
        <w:rPr>
          <w:sz w:val="24"/>
        </w:rPr>
        <w:t xml:space="preserve">выполнения работ</w:t>
      </w:r>
      <w:bookmarkEnd w:id="22"/>
      <w:r/>
      <w:bookmarkEnd w:id="23"/>
      <w:r>
        <w:rPr>
          <w:sz w:val="24"/>
        </w:rPr>
      </w:r>
      <w:r>
        <w:rPr>
          <w:sz w:val="24"/>
        </w:rPr>
      </w:r>
    </w:p>
    <w:tbl>
      <w:tblPr>
        <w:tblW w:w="97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641"/>
        <w:gridCol w:w="1559"/>
        <w:gridCol w:w="1843"/>
      </w:tblGrid>
      <w:tr>
        <w:tblPrEx/>
        <w:trPr/>
        <w:tc>
          <w:tcPr>
            <w:shd w:val="clear" w:color="auto" w:fill="auto"/>
            <w:tcW w:w="73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п/п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auto" w:fill="auto"/>
            <w:tcW w:w="564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Наименование работ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Требования к началу срока выполнения работ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Требования к окончанию срока выполнения работ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bottom w:val="single" w:color="auto" w:sz="4" w:space="0"/>
            </w:tcBorders>
            <w:tcW w:w="738" w:type="dxa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 xml:space="preserve">1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5641" w:type="dxa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 xml:space="preserve">2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ind w:left="57" w:right="57" w:firstLine="0"/>
              <w:jc w:val="center"/>
              <w:spacing w:before="40" w:after="40"/>
              <w:rPr>
                <w:szCs w:val="24"/>
              </w:rPr>
            </w:pPr>
            <w:r>
              <w:rPr>
                <w:b/>
                <w:szCs w:val="24"/>
              </w:rPr>
              <w:t xml:space="preserve">3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ind w:left="57" w:right="57" w:firstLine="0"/>
              <w:jc w:val="center"/>
              <w:spacing w:before="40" w:after="40"/>
              <w:rPr>
                <w:szCs w:val="24"/>
              </w:rPr>
            </w:pPr>
            <w:r>
              <w:rPr>
                <w:b/>
                <w:szCs w:val="24"/>
              </w:rPr>
              <w:t xml:space="preserve">4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>
          <w:trHeight w:val="1099"/>
        </w:trPr>
        <w:tc>
          <w:tcPr>
            <w:shd w:val="clear" w:color="auto" w:fill="auto"/>
            <w:tcBorders>
              <w:bottom w:val="single" w:color="auto" w:sz="4" w:space="0"/>
            </w:tcBorders>
            <w:tcW w:w="738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contextualSpacing/>
              <w:ind w:left="142" w:right="0" w:firstLine="0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</w:r>
            <w:r>
              <w:rPr>
                <w:rFonts w:eastAsia="Calibri"/>
                <w:szCs w:val="24"/>
              </w:rPr>
            </w:r>
            <w:r>
              <w:rPr>
                <w:rFonts w:eastAsia="Calibri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5641" w:type="dxa"/>
            <w:vAlign w:val="center"/>
            <w:textDirection w:val="lrTb"/>
            <w:noWrap w:val="false"/>
          </w:tcPr>
          <w:p>
            <w:pPr>
              <w:ind w:firstLine="0"/>
            </w:pPr>
            <w:r>
              <w:t xml:space="preserve">«</w:t>
            </w:r>
            <w:r>
              <w:t xml:space="preserve">О</w:t>
            </w:r>
            <w:r>
              <w:t xml:space="preserve">КПД2 42.21.21.000 Выполнение работ по капитальному ремонту - замена участка паропровода «Спутник» в г. Хабаровске от узла П12.16 в сторону узла П12.09 с переходом пер. Алданский Дн=219х10мм, L=781м, Дн=325х12мм, L=83м, инвентарный  № 00000000000000017193, </w:t>
            </w:r>
            <w:r>
              <w:t xml:space="preserve">(ППНТСиСПТЭ), Хабаровские тепловые сети (ПП: 10.4-Рем-2025-ХТС)</w:t>
            </w:r>
            <w:r>
              <w:t xml:space="preserve">»</w:t>
            </w:r>
            <w:r/>
          </w:p>
        </w:tc>
        <w:tc>
          <w:tcPr>
            <w:tcBorders>
              <w:bottom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rPr>
                <w:rFonts w:eastAsia="Calibri"/>
                <w:highlight w:val="yellow"/>
              </w:rPr>
            </w:pPr>
            <w:r>
              <w:rPr>
                <w:rFonts w:eastAsia="Calibri"/>
                <w:bCs/>
                <w:szCs w:val="24"/>
                <w:highlight w:val="none"/>
              </w:rPr>
              <w:t xml:space="preserve">10.05.2027 г.</w:t>
            </w:r>
            <w:r>
              <w:rPr>
                <w:rFonts w:eastAsia="Calibri"/>
                <w:highlight w:val="yellow"/>
              </w:rPr>
            </w:r>
            <w:r>
              <w:rPr>
                <w:rFonts w:eastAsia="Calibri"/>
                <w:highlight w:val="yellow"/>
              </w:rPr>
            </w:r>
          </w:p>
        </w:tc>
        <w:tc>
          <w:tcPr>
            <w:tcBorders>
              <w:bottom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ind w:firstLine="0"/>
              <w:rPr>
                <w:rFonts w:eastAsia="Calibri"/>
                <w:bCs/>
                <w:szCs w:val="24"/>
                <w:highlight w:val="white"/>
              </w:rPr>
            </w:pPr>
            <w:r>
              <w:rPr>
                <w:bCs/>
                <w:highlight w:val="white"/>
              </w:rPr>
              <w:t xml:space="preserve">31.10.2027 </w:t>
            </w:r>
            <w:r>
              <w:rPr>
                <w:bCs/>
                <w:highlight w:val="white"/>
              </w:rPr>
              <w:t xml:space="preserve">г.</w:t>
            </w:r>
            <w:r>
              <w:rPr>
                <w:rFonts w:eastAsia="Calibri"/>
                <w:bCs/>
                <w:szCs w:val="24"/>
                <w:highlight w:val="white"/>
              </w:rPr>
              <w:t xml:space="preserve">*</w:t>
            </w:r>
            <w:r>
              <w:rPr>
                <w:rFonts w:eastAsia="Calibri"/>
                <w:bCs/>
                <w:szCs w:val="24"/>
                <w:highlight w:val="white"/>
              </w:rPr>
            </w:r>
            <w:r>
              <w:rPr>
                <w:rFonts w:eastAsia="Calibri"/>
                <w:bCs/>
                <w:szCs w:val="24"/>
                <w:highlight w:val="white"/>
              </w:rPr>
            </w:r>
          </w:p>
        </w:tc>
      </w:tr>
    </w:tbl>
    <w:p>
      <w:pPr>
        <w:pStyle w:val="982"/>
        <w:ind w:left="1614"/>
        <w:spacing w:line="360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spacing w:line="360" w:lineRule="auto"/>
        <w:rPr>
          <w:sz w:val="22"/>
          <w:szCs w:val="22"/>
        </w:rPr>
      </w:pPr>
      <w:r>
        <w:rPr>
          <w:i/>
          <w:sz w:val="22"/>
          <w:szCs w:val="22"/>
        </w:rPr>
        <w:t xml:space="preserve">*Увеличение срока окончания работ не допускается, так как указание конкретного срока завершения работ вызвано необходимостью полного выполнения работ и сдачи теплосетевого объек</w:t>
      </w:r>
      <w:r>
        <w:rPr>
          <w:i/>
          <w:sz w:val="22"/>
          <w:szCs w:val="22"/>
        </w:rPr>
        <w:t xml:space="preserve">та в эксплуатацию и представителям надзорных органов со стороны администрации г. Хабаровска в указанный период, во избежание рисков срыва начала отопительного сезона и получения паспорта готовности предприятия к прохождению осенне-зимнего периода нагрузок.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pacing w:line="360" w:lineRule="auto"/>
        <w:rPr>
          <w:sz w:val="22"/>
          <w:szCs w:val="22"/>
        </w:rPr>
      </w:pPr>
      <w:r>
        <w:rPr>
          <w:i/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67" w:hanging="567"/>
        <w:spacing w:line="360" w:lineRule="auto"/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1134" w:right="850" w:bottom="1134" w:left="1134" w:header="708" w:footer="708" w:gutter="0"/>
          <w:cols w:num="1" w:sep="0" w:space="708" w:equalWidth="1"/>
          <w:docGrid w:linePitch="360"/>
        </w:sectPr>
      </w:pPr>
      <w:r/>
      <w:r/>
    </w:p>
    <w:p>
      <w:pPr>
        <w:ind w:left="567" w:hanging="567"/>
        <w:spacing w:line="360" w:lineRule="auto"/>
      </w:pPr>
      <w:r/>
      <w:r/>
    </w:p>
    <w:p>
      <w:pPr>
        <w:ind w:left="567" w:hanging="567"/>
        <w:spacing w:line="360" w:lineRule="auto"/>
      </w:pPr>
      <w:r/>
      <w:r/>
    </w:p>
    <w:p>
      <w:pPr>
        <w:pStyle w:val="806"/>
      </w:pPr>
      <w:r/>
      <w:bookmarkStart w:id="25" w:name="_Toc157784553"/>
      <w:r>
        <w:t xml:space="preserve">2.2 Требования к качеству работ</w:t>
      </w:r>
      <w:bookmarkEnd w:id="25"/>
      <w:r/>
      <w:r/>
    </w:p>
    <w:p>
      <w:pPr>
        <w:pStyle w:val="805"/>
        <w:rPr>
          <w:sz w:val="24"/>
        </w:rPr>
      </w:pPr>
      <w:r/>
      <w:bookmarkStart w:id="26" w:name="_Toc157784554"/>
      <w:r>
        <w:rPr>
          <w:sz w:val="24"/>
        </w:rPr>
        <w:t xml:space="preserve">Таблица 4. Требования к качеству работ</w:t>
      </w:r>
      <w:bookmarkEnd w:id="26"/>
      <w:r>
        <w:rPr>
          <w:sz w:val="24"/>
        </w:rPr>
      </w:r>
      <w:r>
        <w:rPr>
          <w:sz w:val="24"/>
        </w:rPr>
      </w:r>
    </w:p>
    <w:p>
      <w:pPr>
        <w:ind w:firstLine="0"/>
        <w:tabs>
          <w:tab w:val="left" w:pos="3002" w:leader="none"/>
        </w:tabs>
        <w:rPr>
          <w:highlight w:val="none"/>
        </w:rPr>
      </w:pPr>
      <w:r>
        <w:rPr>
          <w:bCs/>
        </w:rPr>
      </w:r>
      <w:r>
        <w:t xml:space="preserve">Наименование работ/этапа работ: </w:t>
      </w:r>
      <w:r>
        <w:t xml:space="preserve">О</w:t>
      </w:r>
      <w:r>
        <w:t xml:space="preserve">КПД2 42.21.21.000 Выполнение работ по капитальному ремонту - замена участка паропровода «Спутник» в г. Хабаровске от узла П12.16 в сторону узла П12.09 с переходом пер. Алданский Дн=219х10мм, L=781м, Дн=325х12мм, L=83м, инвентарный  № 00000000000000017193, </w:t>
      </w:r>
      <w:r>
        <w:t xml:space="preserve">(ППНТСиСПТЭ), Хабаровские тепловые сети (ПП: 10.4-Рем-2025-ХТС)</w:t>
      </w:r>
      <w:r>
        <w:rPr>
          <w:highlight w:val="none"/>
        </w:rPr>
      </w:r>
      <w:r>
        <w:rPr>
          <w:highlight w:val="none"/>
        </w:rPr>
      </w:r>
    </w:p>
    <w:p>
      <w:pPr>
        <w:ind w:firstLine="0"/>
        <w:tabs>
          <w:tab w:val="left" w:pos="3002" w:leader="none"/>
        </w:tabs>
      </w:pPr>
      <w:r>
        <w:rPr>
          <w:bCs/>
          <w:highlight w:val="none"/>
        </w:rPr>
      </w:r>
      <w:r>
        <w:rPr>
          <w:bCs/>
          <w:highlight w:val="none"/>
        </w:rPr>
      </w:r>
      <w:r/>
    </w:p>
    <w:tbl>
      <w:tblPr>
        <w:tblStyle w:val="1015"/>
        <w:tblW w:w="15029" w:type="dxa"/>
        <w:tblInd w:w="-5" w:type="dxa"/>
        <w:tblLayout w:type="fixed"/>
        <w:tblLook w:val="05A0" w:firstRow="1" w:lastRow="0" w:firstColumn="1" w:lastColumn="1" w:noHBand="0" w:noVBand="1"/>
      </w:tblPr>
      <w:tblGrid>
        <w:gridCol w:w="994"/>
        <w:gridCol w:w="2531"/>
        <w:gridCol w:w="3234"/>
        <w:gridCol w:w="2444"/>
        <w:gridCol w:w="1081"/>
        <w:gridCol w:w="1221"/>
        <w:gridCol w:w="1223"/>
        <w:gridCol w:w="2302"/>
      </w:tblGrid>
      <w:tr>
        <w:tblPrEx/>
        <w:trPr/>
        <w:tc>
          <w:tcPr>
            <w:tcW w:w="99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п/п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53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Наименование параметра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3"/>
            <w:tcW w:w="675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Требование заказчика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3"/>
            <w:tcW w:w="474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1517"/>
        </w:trPr>
        <w:tc>
          <w:tcPr>
            <w:tcW w:w="994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531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3"/>
            <w:tcW w:w="6759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W w:w="244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302" w:type="dxa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99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3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gridSpan w:val="3"/>
            <w:tcW w:w="675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gridSpan w:val="2"/>
            <w:tcW w:w="244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302" w:type="dxa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5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>
          <w:trHeight w:val="461"/>
        </w:trPr>
        <w:tc>
          <w:tcPr>
            <w:tcW w:w="99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contextualSpacing/>
              <w:ind w:left="289" w:right="0" w:hanging="6"/>
              <w:jc w:val="left"/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4"/>
            <w:tcW w:w="9289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Требования к выполнению работ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2444" w:type="dxa"/>
            <w:vMerge w:val="restart"/>
            <w:textDirection w:val="lrTb"/>
            <w:noWrap w:val="false"/>
          </w:tcPr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302" w:type="dxa"/>
            <w:vMerge w:val="restart"/>
            <w:textDirection w:val="lrTb"/>
            <w:noWrap w:val="false"/>
          </w:tcPr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</w:tr>
      <w:tr>
        <w:tblPrEx/>
        <w:trPr/>
        <w:tc>
          <w:tcPr>
            <w:tcW w:w="99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32"/>
              </w:numPr>
              <w:contextualSpacing/>
              <w:ind w:left="142" w:right="0" w:firstLine="0"/>
              <w:jc w:val="right"/>
              <w:spacing w:before="60" w:after="6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4"/>
            <w:tcW w:w="9289" w:type="dxa"/>
            <w:vAlign w:val="center"/>
            <w:textDirection w:val="lrTb"/>
            <w:noWrap w:val="false"/>
          </w:tcPr>
          <w:p>
            <w:pPr>
              <w:ind w:firstLine="0"/>
              <w:spacing w:before="60" w:after="6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Общие требования к выполнению работ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2444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302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994" w:type="dxa"/>
            <w:vAlign w:val="center"/>
            <w:textDirection w:val="lrTb"/>
            <w:noWrap w:val="false"/>
          </w:tcPr>
          <w:p>
            <w:pPr>
              <w:contextualSpacing/>
              <w:ind w:left="142" w:right="0" w:firstLine="0"/>
              <w:jc w:val="left"/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1.1.1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53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6759" w:type="dxa"/>
            <w:textDirection w:val="lrTb"/>
            <w:noWrap w:val="false"/>
          </w:tcPr>
          <w:p>
            <w:pPr>
              <w:ind w:left="0" w:right="0" w:firstLine="0"/>
              <w:jc w:val="both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white"/>
              </w:rPr>
              <w:t xml:space="preserve"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82"/>
              <w:numPr>
                <w:ilvl w:val="0"/>
                <w:numId w:val="60"/>
              </w:numPr>
              <w:contextualSpacing/>
              <w:ind w:left="0" w:right="0" w:firstLine="283"/>
              <w:jc w:val="both"/>
              <w:spacing w:before="60" w:line="240" w:lineRule="auto"/>
              <w:widowControl w:val="off"/>
              <w:tabs>
                <w:tab w:val="left" w:pos="709" w:leader="none"/>
              </w:tabs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 xml:space="preserve">СП 74.13330.2023. «Свод правил. Тепловые сети. СНиП 3.05.03-85» (утв. и введен в действие Приказом</w:t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 xml:space="preserve"> Минстроя России от 19.12.2023 №</w:t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 xml:space="preserve"> 947/</w:t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 xml:space="preserve">пр</w:t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 xml:space="preserve">);</w:t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982"/>
              <w:numPr>
                <w:ilvl w:val="0"/>
                <w:numId w:val="60"/>
              </w:numPr>
              <w:ind w:left="0" w:right="0" w:firstLine="283"/>
              <w:jc w:val="both"/>
              <w:spacing w:before="0" w:after="300" w:line="240" w:lineRule="auto"/>
              <w:shd w:val="clear" w:color="ffffff" w:fill="ffffff"/>
              <w:tabs>
                <w:tab w:val="left" w:pos="709" w:leader="none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Правила технической эксплуатации объектов теплоснабжения и теплопотребляющих установок (у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тв. приказом Минэнерго России от 14 мая 2025 г. № 511);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982"/>
              <w:numPr>
                <w:ilvl w:val="0"/>
                <w:numId w:val="60"/>
              </w:numPr>
              <w:ind w:left="0" w:right="0" w:firstLine="283"/>
              <w:jc w:val="both"/>
              <w:spacing w:line="240" w:lineRule="auto"/>
              <w:widowControl w:val="off"/>
              <w:tabs>
                <w:tab w:val="left" w:pos="709" w:leader="none"/>
              </w:tabs>
              <w:rPr>
                <w:i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iCs/>
                <w:color w:val="000000" w:themeColor="text1"/>
                <w:sz w:val="24"/>
                <w:szCs w:val="24"/>
                <w:highlight w:val="white"/>
              </w:rPr>
              <w:t xml:space="preserve">С</w:t>
            </w:r>
            <w:r>
              <w:rPr>
                <w:bCs/>
                <w:iCs/>
                <w:color w:val="000000" w:themeColor="text1"/>
                <w:sz w:val="24"/>
                <w:szCs w:val="24"/>
                <w:highlight w:val="white"/>
              </w:rPr>
              <w:t xml:space="preserve">П 78.13330.2012. Свод пр</w:t>
            </w:r>
            <w:r>
              <w:rPr>
                <w:bCs/>
                <w:iCs/>
                <w:color w:val="000000" w:themeColor="text1"/>
                <w:sz w:val="24"/>
                <w:szCs w:val="24"/>
                <w:highlight w:val="white"/>
              </w:rPr>
              <w:t xml:space="preserve">авил. Автомобильные дороги. Актуализированная редакция СНиП 3.06.03-85 (утв. Приказом </w:t>
            </w:r>
            <w:r>
              <w:rPr>
                <w:bCs/>
                <w:iCs/>
                <w:color w:val="000000" w:themeColor="text1"/>
                <w:sz w:val="24"/>
                <w:szCs w:val="24"/>
                <w:highlight w:val="white"/>
              </w:rPr>
              <w:t xml:space="preserve">Минрегиона</w:t>
            </w:r>
            <w:r>
              <w:rPr>
                <w:bCs/>
                <w:iCs/>
                <w:color w:val="000000" w:themeColor="text1"/>
                <w:sz w:val="24"/>
                <w:szCs w:val="24"/>
                <w:highlight w:val="white"/>
              </w:rPr>
              <w:t xml:space="preserve"> России от 30.06.2012 № 272) с изм. №1 от 17.06.2017, с изм.№2 от 20.11.2021; с изм №3 от 28.12.2023.</w:t>
            </w:r>
            <w:r>
              <w:rPr>
                <w:iCs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iCs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982"/>
              <w:numPr>
                <w:ilvl w:val="0"/>
                <w:numId w:val="60"/>
              </w:numPr>
              <w:ind w:left="0" w:right="0" w:firstLine="283"/>
              <w:jc w:val="both"/>
              <w:spacing w:line="240" w:lineRule="auto"/>
              <w:tabs>
                <w:tab w:val="left" w:pos="709" w:leader="none"/>
              </w:tabs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highlight w:val="white"/>
              </w:rPr>
              <w:t xml:space="preserve">Федеральные нормы и правила в области промышленной безопасности «Требования к производству сварочных работ на опасных производственных объектах»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highlight w:val="white"/>
              </w:rPr>
              <w:t xml:space="preserve">, (утв. Приказом Ростехнадзора от 11 декабря 2020 года №519 (с изм. от 14.01.2025).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982"/>
              <w:numPr>
                <w:ilvl w:val="0"/>
                <w:numId w:val="60"/>
              </w:numPr>
              <w:ind w:left="0" w:right="0" w:firstLine="283"/>
              <w:jc w:val="both"/>
              <w:spacing w:line="240" w:lineRule="auto"/>
              <w:tabs>
                <w:tab w:val="left" w:pos="709" w:leader="none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  <w:t xml:space="preserve">РД 03-614-03 «Порядок применения сварочного оборудования при изготовлении, монтаже, ремонте и реконструкции технических устройств для опасных производственных объектов» (утв. Госгортехнадзором России, 19.06.2003 № 102) 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  <w:t xml:space="preserve">с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изм. Приказом Ростехнадзора от 17.10.2012 №589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  <w:t xml:space="preserve">;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982"/>
              <w:numPr>
                <w:ilvl w:val="0"/>
                <w:numId w:val="60"/>
              </w:numPr>
              <w:ind w:left="0" w:right="0" w:firstLine="283"/>
              <w:jc w:val="both"/>
              <w:spacing w:line="240" w:lineRule="auto"/>
              <w:tabs>
                <w:tab w:val="left" w:pos="709" w:leader="none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  <w:t xml:space="preserve">Правилами благоустройства городского округа «Город Хабаровск» № 677 от 17 октября 2017 г. (с изм.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 от 18.11.2025 № 497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).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982"/>
              <w:numPr>
                <w:ilvl w:val="0"/>
                <w:numId w:val="60"/>
              </w:numPr>
              <w:ind w:left="0" w:right="0" w:firstLine="283"/>
              <w:jc w:val="both"/>
              <w:spacing w:line="240" w:lineRule="auto"/>
              <w:widowControl w:val="off"/>
              <w:tabs>
                <w:tab w:val="left" w:pos="709" w:leader="none"/>
              </w:tabs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iCs/>
                <w:color w:val="000000" w:themeColor="text1"/>
                <w:sz w:val="24"/>
                <w:szCs w:val="24"/>
                <w:highlight w:val="white"/>
              </w:rPr>
              <w:t xml:space="preserve">СП 45.13330.2017 Свод правил. Земляные сооружения, основания и фундаменты. Актуализированная редакция СНиП 3.02.01-87 (ред. 20.11.2019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№ 705/пр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000000" w:themeColor="text1"/>
                <w:sz w:val="24"/>
                <w:szCs w:val="24"/>
                <w:highlight w:val="white"/>
              </w:rPr>
              <w:t xml:space="preserve">);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982"/>
              <w:numPr>
                <w:ilvl w:val="0"/>
                <w:numId w:val="60"/>
              </w:numPr>
              <w:contextualSpacing/>
              <w:ind w:left="0" w:right="0" w:firstLine="283"/>
              <w:jc w:val="both"/>
              <w:spacing w:before="60" w:line="240" w:lineRule="auto"/>
              <w:widowControl w:val="off"/>
              <w:tabs>
                <w:tab w:val="left" w:pos="709" w:leader="none"/>
              </w:tabs>
              <w:rPr>
                <w:bCs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 xml:space="preserve">Положение «Об организации контроля и приемке выполненных работ на ремонтируемых объектах, объектах модернизации, реконструкции и технического перевооружения», утвержденным приказом № 555 от 29.11.2019 г. АО «ДГК»;</w:t>
            </w:r>
            <w:r>
              <w:rPr>
                <w:bCs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bCs/>
                <w:color w:val="000000" w:themeColor="text1"/>
                <w:sz w:val="22"/>
                <w:szCs w:val="22"/>
                <w:highlight w:val="white"/>
              </w:rPr>
            </w:r>
          </w:p>
          <w:p>
            <w:pPr>
              <w:pStyle w:val="982"/>
              <w:numPr>
                <w:ilvl w:val="0"/>
                <w:numId w:val="60"/>
              </w:numPr>
              <w:contextualSpacing/>
              <w:ind w:left="0" w:right="0" w:firstLine="283"/>
              <w:jc w:val="both"/>
              <w:spacing w:before="60" w:line="240" w:lineRule="auto"/>
              <w:widowControl w:val="off"/>
              <w:tabs>
                <w:tab w:val="left" w:pos="709" w:leader="none"/>
              </w:tabs>
              <w:rPr>
                <w:bCs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 xml:space="preserve">СП 68.13330.2017 «Приемка в эксплуатацию законченных строительством объектов. Основные положения» (утв. Приказом Министерства строительства и жилищно-коммунального хозяйства Российской Федерации, от 27.07.2017 № 1033/</w:t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 xml:space="preserve">пр</w:t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 xml:space="preserve">);</w:t>
            </w:r>
            <w:r>
              <w:rPr>
                <w:bCs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bCs/>
                <w:color w:val="000000" w:themeColor="text1"/>
                <w:sz w:val="22"/>
                <w:szCs w:val="22"/>
                <w:highlight w:val="white"/>
              </w:rPr>
            </w:r>
          </w:p>
          <w:p>
            <w:pPr>
              <w:pStyle w:val="982"/>
              <w:numPr>
                <w:ilvl w:val="0"/>
                <w:numId w:val="60"/>
              </w:numPr>
              <w:contextualSpacing/>
              <w:ind w:left="0" w:right="0" w:firstLine="283"/>
              <w:jc w:val="both"/>
              <w:spacing w:before="60" w:line="240" w:lineRule="auto"/>
              <w:widowControl w:val="off"/>
              <w:tabs>
                <w:tab w:val="left" w:pos="709" w:leader="none"/>
              </w:tabs>
              <w:rPr>
                <w:bCs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 xml:space="preserve">СП 72.13330.2016 «СНиП 3.04.03-85 Защита строительных конструкций и сооружений от коррозии» (Приказ Минстроя России от 16 декабря 2016 г. № 965/</w:t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 xml:space="preserve">пр</w:t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 xml:space="preserve">);</w:t>
            </w:r>
            <w:r>
              <w:rPr>
                <w:bCs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bCs/>
                <w:color w:val="000000" w:themeColor="text1"/>
                <w:sz w:val="22"/>
                <w:szCs w:val="22"/>
                <w:highlight w:val="white"/>
              </w:rPr>
            </w:r>
          </w:p>
          <w:p>
            <w:pPr>
              <w:pStyle w:val="982"/>
              <w:numPr>
                <w:ilvl w:val="0"/>
                <w:numId w:val="60"/>
              </w:numPr>
              <w:contextualSpacing/>
              <w:ind w:left="0" w:right="0" w:firstLine="283"/>
              <w:jc w:val="both"/>
              <w:spacing w:before="60" w:line="240" w:lineRule="auto"/>
              <w:widowControl w:val="off"/>
              <w:tabs>
                <w:tab w:val="left" w:pos="709" w:leader="none"/>
              </w:tabs>
              <w:rPr>
                <w:color w:val="ff0000" w:themeColor="text1"/>
                <w:sz w:val="22"/>
                <w:szCs w:val="22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 xml:space="preserve">СП 71.13330.2017 «Изоляционные и отделочные покрытия» Актуализированная редакция СНиП 3.04.01-87 (с Изменением № 1) ред. от 17.12.2021.</w:t>
            </w:r>
            <w:r>
              <w:rPr>
                <w:color w:val="ff0000" w:themeColor="text1"/>
                <w:sz w:val="22"/>
                <w:szCs w:val="22"/>
                <w:highlight w:val="white"/>
              </w:rPr>
            </w:r>
            <w:r>
              <w:rPr>
                <w:color w:val="ff0000" w:themeColor="text1"/>
                <w:sz w:val="22"/>
                <w:szCs w:val="22"/>
                <w:highlight w:val="white"/>
              </w:rPr>
            </w:r>
          </w:p>
          <w:p>
            <w:pPr>
              <w:ind w:firstLine="0"/>
              <w:jc w:val="both"/>
              <w:spacing w:before="0" w:after="0" w:line="240" w:lineRule="auto"/>
              <w:widowControl/>
              <w:rPr>
                <w:sz w:val="10"/>
                <w:szCs w:val="10"/>
                <w:highlight w:val="white"/>
              </w:rPr>
            </w:pPr>
            <w:r>
              <w:rPr>
                <w:bCs/>
                <w:sz w:val="10"/>
                <w:szCs w:val="10"/>
                <w:highlight w:val="none"/>
                <w:lang w:val="ru-RU" w:bidi="ar-SA"/>
              </w:rPr>
            </w:r>
            <w:r>
              <w:rPr>
                <w:sz w:val="10"/>
                <w:szCs w:val="10"/>
                <w:highlight w:val="white"/>
              </w:rPr>
            </w:r>
            <w:r>
              <w:rPr>
                <w:sz w:val="10"/>
                <w:szCs w:val="10"/>
                <w:highlight w:val="white"/>
              </w:rPr>
            </w:r>
          </w:p>
          <w:p>
            <w:pPr>
              <w:pStyle w:val="804"/>
              <w:ind w:firstLine="0"/>
              <w:jc w:val="both"/>
              <w:spacing w:before="0" w:after="0" w:line="240" w:lineRule="auto"/>
              <w:widowControl/>
              <w:rPr>
                <w:highlight w:val="none"/>
                <w:lang w:val="ru-RU" w:bidi="ar-SA"/>
              </w:rPr>
            </w:pPr>
            <w:r>
              <w:rPr>
                <w:bCs/>
                <w:szCs w:val="24"/>
                <w:highlight w:val="white"/>
                <w:lang w:val="ru-RU" w:bidi="ar-SA"/>
              </w:rPr>
              <w:t xml:space="preserve">В случае если какой-либо из указанных в настоящей Ведомости ГОСТов или нормативных документов были отменены в связи с выпуском новой редакции стандарта, то необходимо применять ГОСТ или нормативный документ, принятый в его развитие</w:t>
            </w:r>
            <w:r>
              <w:rPr>
                <w:highlight w:val="none"/>
                <w:lang w:val="ru-RU" w:bidi="ar-SA"/>
              </w:rPr>
            </w:r>
            <w:r>
              <w:rPr>
                <w:highlight w:val="none"/>
                <w:lang w:val="ru-RU" w:bidi="ar-SA"/>
              </w:rPr>
            </w:r>
          </w:p>
          <w:p>
            <w:pPr>
              <w:ind w:left="0" w:right="0" w:firstLine="0"/>
              <w:jc w:val="both"/>
              <w:spacing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auto"/>
            <w:tcW w:w="2444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302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tcBorders>
              <w:bottom w:val="single" w:color="auto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32"/>
              </w:numPr>
              <w:contextualSpacing/>
              <w:ind w:left="142" w:right="0" w:firstLine="0"/>
              <w:jc w:val="right"/>
              <w:spacing w:before="60" w:after="60"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gridSpan w:val="4"/>
            <w:tcW w:w="9289" w:type="dxa"/>
            <w:vAlign w:val="center"/>
            <w:textDirection w:val="lrTb"/>
            <w:noWrap w:val="false"/>
          </w:tcPr>
          <w:p>
            <w:pPr>
              <w:ind w:firstLine="0"/>
              <w:spacing w:before="6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Cs w:val="24"/>
              </w:rPr>
              <w:t xml:space="preserve">Требования к организации работ</w:t>
            </w:r>
            <w:r>
              <w:rPr>
                <w:rFonts w:ascii="Times New Roman" w:hAnsi="Times New Roman" w:cs="Times New Roman"/>
                <w:b/>
                <w:szCs w:val="24"/>
              </w:rPr>
            </w:r>
            <w:r>
              <w:rPr>
                <w:rFonts w:ascii="Times New Roman" w:hAnsi="Times New Roman" w:cs="Times New Roman"/>
                <w:b/>
                <w:szCs w:val="24"/>
              </w:rPr>
            </w:r>
          </w:p>
        </w:tc>
        <w:tc>
          <w:tcPr>
            <w:gridSpan w:val="2"/>
            <w:tcW w:w="2444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  <w:tc>
          <w:tcPr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bottom w:val="single" w:color="auto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contextualSpacing/>
              <w:ind w:left="142" w:right="0" w:firstLine="0"/>
              <w:spacing w:before="60" w:after="6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1.2.1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ind w:firstLine="0"/>
              <w:spacing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ind w:firstLine="0"/>
              <w:spacing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2531" w:type="dxa"/>
            <w:textDirection w:val="lrTb"/>
            <w:noWrap w:val="false"/>
          </w:tcPr>
          <w:p>
            <w:pPr>
              <w:ind w:firstLine="0"/>
              <w:spacing w:before="60" w:line="240" w:lineRule="auto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Cs w:val="24"/>
              </w:rPr>
              <w:t xml:space="preserve">Организационно-технические мероприятия по допуску персонала подрядчика</w:t>
            </w: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</w:p>
        </w:tc>
        <w:tc>
          <w:tcPr>
            <w:gridSpan w:val="3"/>
            <w:tcW w:w="6759" w:type="dxa"/>
            <w:textDirection w:val="lrTb"/>
            <w:noWrap w:val="false"/>
          </w:tcPr>
          <w:p>
            <w:pPr>
              <w:ind w:left="0" w:right="0" w:firstLine="0"/>
              <w:jc w:val="both"/>
              <w:spacing w:line="240" w:lineRule="auto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Cs w:val="24"/>
              </w:rPr>
              <w:t xml:space="preserve">Допуск персонала подрядчика для выполнения работ должен осуществляться в соответствии с Положением о допуске персонала подрядных организаций к выполнению работ на объектах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АО «ДГК»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22.1-504-202</w:t>
            </w:r>
            <w:r>
              <w:rPr>
                <w:sz w:val="24"/>
                <w:szCs w:val="24"/>
                <w:lang w:val="en-US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утв. Приказом АО «ДГК» от </w:t>
            </w:r>
            <w:r>
              <w:rPr>
                <w:sz w:val="24"/>
                <w:szCs w:val="24"/>
              </w:rPr>
              <w:t xml:space="preserve">22.07.2026 </w:t>
            </w:r>
            <w:r>
              <w:rPr>
                <w:sz w:val="24"/>
                <w:szCs w:val="24"/>
              </w:rPr>
              <w:t xml:space="preserve">№ П-ДГК/</w:t>
            </w:r>
            <w:r>
              <w:rPr>
                <w:sz w:val="24"/>
                <w:szCs w:val="24"/>
              </w:rPr>
              <w:t xml:space="preserve">649</w:t>
            </w:r>
            <w:r>
              <w:rPr>
                <w:rFonts w:ascii="Times New Roman" w:hAnsi="Times New Roman" w:eastAsia="Times New Roman" w:cs="Times New Roman"/>
                <w:szCs w:val="24"/>
              </w:rPr>
              <w:t xml:space="preserve"> (Приложение № 6 к настоящим ТТ) с обязательным оформлением необходимых нарядов-допусков.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  <w:p>
            <w:pPr>
              <w:ind w:left="0" w:right="0" w:firstLine="0"/>
              <w:jc w:val="both"/>
              <w:spacing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eastAsia="Times New Roman" w:cs="Times New Roman"/>
                <w:sz w:val="10"/>
                <w:szCs w:val="10"/>
                <w:highlight w:val="none"/>
              </w:rPr>
            </w:r>
            <w:r>
              <w:rPr>
                <w:rFonts w:ascii="Times New Roman" w:hAnsi="Times New Roman" w:cs="Times New Roman"/>
                <w:sz w:val="10"/>
                <w:szCs w:val="10"/>
              </w:rPr>
            </w:r>
            <w:r>
              <w:rPr>
                <w:rFonts w:ascii="Times New Roman" w:hAnsi="Times New Roman" w:cs="Times New Roman"/>
                <w:sz w:val="10"/>
                <w:szCs w:val="10"/>
              </w:rPr>
            </w:r>
          </w:p>
          <w:p>
            <w:pPr>
              <w:ind w:left="0" w:right="0" w:firstLine="0"/>
              <w:jc w:val="both"/>
              <w:spacing w:line="240" w:lineRule="auto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Cs w:val="24"/>
              </w:rPr>
              <w:t xml:space="preserve">Подготовку рабочих мест и допуск к выполнению работ выполняет персонал Заказчика.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  <w:p>
            <w:pPr>
              <w:ind w:left="0" w:right="0" w:firstLine="0"/>
              <w:jc w:val="both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2444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3"/>
        </w:trPr>
        <w:tc>
          <w:tcPr>
            <w:tcBorders>
              <w:top w:val="single" w:color="auto" w:sz="4" w:space="0"/>
              <w:bottom w:val="non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contextualSpacing/>
              <w:ind w:left="142" w:right="0" w:firstLine="0"/>
              <w:spacing w:before="60" w:after="60" w:line="276" w:lineRule="auto"/>
              <w:rPr>
                <w:rFonts w:eastAsia="Calibri"/>
                <w:sz w:val="22"/>
                <w:szCs w:val="22"/>
                <w:highlight w:val="green"/>
              </w:rPr>
            </w:pPr>
            <w:r>
              <w:rPr>
                <w:rFonts w:eastAsia="Calibri"/>
                <w:sz w:val="22"/>
                <w:szCs w:val="22"/>
              </w:rPr>
              <w:t xml:space="preserve">1.2.2</w:t>
            </w:r>
            <w:r>
              <w:rPr>
                <w:rFonts w:eastAsia="Calibri"/>
                <w:sz w:val="22"/>
                <w:szCs w:val="22"/>
                <w:highlight w:val="green"/>
              </w:rPr>
            </w:r>
            <w:r>
              <w:rPr>
                <w:rFonts w:eastAsia="Calibri"/>
                <w:sz w:val="22"/>
                <w:szCs w:val="22"/>
                <w:highlight w:val="green"/>
              </w:rPr>
            </w:r>
          </w:p>
        </w:tc>
        <w:tc>
          <w:tcPr>
            <w:tcW w:w="2531" w:type="dxa"/>
            <w:vMerge w:val="restart"/>
            <w:textDirection w:val="lrTb"/>
            <w:noWrap w:val="false"/>
          </w:tcPr>
          <w:p>
            <w:pPr>
              <w:ind w:firstLine="0"/>
              <w:spacing w:before="60" w:line="240" w:lineRule="auto"/>
              <w:widowControl w:val="off"/>
              <w:tabs>
                <w:tab w:val="left" w:pos="426" w:leader="none"/>
              </w:tabs>
              <w:rPr>
                <w14:ligatures w14:val="none"/>
              </w:rPr>
            </w:pPr>
            <w:r>
              <w:t xml:space="preserve">Требования к организации процесса выполнения работ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  <w:p>
            <w:pPr>
              <w:ind w:firstLine="0"/>
              <w:spacing w:before="60" w:line="240" w:lineRule="auto"/>
              <w:widowControl w:val="off"/>
              <w:tabs>
                <w:tab w:val="left" w:pos="426" w:leader="none"/>
              </w:tabs>
              <w:rPr>
                <w14:ligatures w14:val="none"/>
              </w:rPr>
            </w:pPr>
            <w:r>
              <w:rPr>
                <w14:ligatures w14:val="none"/>
              </w:rPr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  <w:p>
            <w:pPr>
              <w:ind w:firstLine="0"/>
              <w:spacing w:before="60" w:line="240" w:lineRule="auto"/>
              <w:widowControl w:val="off"/>
              <w:tabs>
                <w:tab w:val="left" w:pos="426" w:leader="none"/>
              </w:tabs>
              <w:rPr>
                <w14:ligatures w14:val="none"/>
              </w:rPr>
            </w:pPr>
            <w:r>
              <w:rPr>
                <w14:ligatures w14:val="none"/>
              </w:rPr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  <w:p>
            <w:pPr>
              <w:ind w:firstLine="0"/>
              <w:spacing w:before="60" w:line="240" w:lineRule="auto"/>
              <w:widowControl w:val="off"/>
              <w:tabs>
                <w:tab w:val="left" w:pos="426" w:leader="none"/>
              </w:tabs>
              <w:rPr>
                <w14:ligatures w14:val="none"/>
              </w:rPr>
            </w:pPr>
            <w:r>
              <w:rPr>
                <w14:ligatures w14:val="none"/>
              </w:rPr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  <w:p>
            <w:pPr>
              <w:ind w:firstLine="0"/>
              <w:spacing w:before="60" w:line="240" w:lineRule="auto"/>
              <w:widowControl w:val="off"/>
              <w:tabs>
                <w:tab w:val="left" w:pos="426" w:leader="none"/>
              </w:tabs>
              <w:rPr>
                <w14:ligatures w14:val="none"/>
              </w:rPr>
            </w:pPr>
            <w:r>
              <w:rPr>
                <w14:ligatures w14:val="none"/>
              </w:rPr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6759" w:type="dxa"/>
            <w:textDirection w:val="lrTb"/>
            <w:noWrap w:val="false"/>
          </w:tcPr>
          <w:p>
            <w:pPr>
              <w:pStyle w:val="804"/>
              <w:ind w:firstLine="0"/>
              <w:jc w:val="both"/>
              <w:spacing w:before="60" w:after="0" w:line="240" w:lineRule="auto"/>
              <w:widowControl w:val="off"/>
              <w:tabs>
                <w:tab w:val="left" w:pos="426" w:leader="none"/>
                <w:tab w:val="clear" w:pos="709" w:leader="none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bidi="ar-SA"/>
              </w:rPr>
              <w:t xml:space="preserve">Комплекс организационно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bidi="ar-SA"/>
              </w:rPr>
              <w:t xml:space="preserve">–технических мероприятий, выполняемый при подготовке к ремонту, должен обеспечивать планомерное и качественное выполнение ремонтных работ в установленные сроки, качество ремонтных работ, оптимальное расходование материально-технических и трудовые ресурсов.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ind w:firstLine="0"/>
              <w:jc w:val="both"/>
              <w:spacing w:before="60" w:after="0" w:line="240" w:lineRule="auto"/>
              <w:widowControl w:val="off"/>
              <w:tabs>
                <w:tab w:val="left" w:pos="426" w:leader="none"/>
                <w:tab w:val="clear" w:pos="709" w:leader="none"/>
              </w:tabs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0"/>
                <w:szCs w:val="10"/>
                <w:highlight w:val="none"/>
                <w:lang w:val="ru-RU" w:bidi="ar-SA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r>
          </w:p>
          <w:p>
            <w:pPr>
              <w:pStyle w:val="804"/>
              <w:ind w:firstLine="0"/>
              <w:jc w:val="both"/>
              <w:spacing w:before="60" w:after="0" w:line="240" w:lineRule="auto"/>
              <w:widowControl w:val="off"/>
              <w:tabs>
                <w:tab w:val="left" w:pos="426" w:leader="none"/>
                <w:tab w:val="clear" w:pos="709" w:leader="none"/>
              </w:tabs>
              <w:rPr>
                <w:color w:val="000000" w:themeColor="text1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val="ru-RU" w:bidi="ar-SA"/>
              </w:rPr>
              <w:t xml:space="preserve">В случае конструктивных изменений по факту демонтажа/монтажа при скрытых работах изменения объемов работ, предусмотренных ведомостью объемов работ (Приложение № 2 к настоящим ТТ), оформляются в соответствии с требова</w:t>
            </w:r>
            <w:r>
              <w:rPr>
                <w:color w:val="000000" w:themeColor="text1"/>
                <w:sz w:val="24"/>
                <w:szCs w:val="24"/>
                <w:highlight w:val="white"/>
                <w:lang w:val="ru-RU" w:bidi="ar-SA"/>
              </w:rPr>
              <w:t xml:space="preserve">ниями Правил ТОиР </w:t>
            </w:r>
            <w:r>
              <w:rPr>
                <w:color w:val="000000" w:themeColor="text1"/>
                <w:sz w:val="24"/>
                <w:szCs w:val="24"/>
                <w:lang w:val="ru-RU" w:bidi="ar-SA"/>
              </w:rPr>
              <w:t xml:space="preserve">(Приказ Минэнерго России от 25.10.2017 № 1013) </w:t>
            </w:r>
            <w:r>
              <w:rPr>
                <w:color w:val="000000" w:themeColor="text1"/>
                <w:sz w:val="24"/>
                <w:szCs w:val="24"/>
                <w:highlight w:val="white"/>
                <w:lang w:val="ru-RU" w:bidi="ar-SA"/>
              </w:rPr>
              <w:t xml:space="preserve">(ведомостью дополнительных работ и протоколом исключения работ из ведомости планируемых работ), согласовываются</w:t>
            </w:r>
            <w:r>
              <w:rPr>
                <w:color w:val="000000" w:themeColor="text1"/>
                <w:sz w:val="24"/>
                <w:szCs w:val="24"/>
                <w:highlight w:val="white"/>
                <w:lang w:val="ru-RU" w:bidi="ar-SA"/>
              </w:rPr>
              <w:t xml:space="preserve"> с Подрядчиком и утверждаются техническим руководителем структурного подразделения, ответственного за непосредственную эксплуатацию производственного объекта. В соответствии с согласованными изменениями объемов работ, заключается дополнительное соглашение.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  <w:p>
            <w:pPr>
              <w:ind w:firstLine="0"/>
              <w:jc w:val="both"/>
              <w:spacing w:before="60" w:line="240" w:lineRule="auto"/>
              <w:widowControl w:val="off"/>
              <w:tabs>
                <w:tab w:val="left" w:pos="426" w:leader="none"/>
              </w:tabs>
              <w:rPr>
                <w14:ligatures w14:val="none"/>
              </w:rPr>
            </w:pPr>
            <w:r>
              <w:rPr>
                <w:highlight w:val="none"/>
              </w:rPr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gridSpan w:val="2"/>
            <w:tcW w:w="2444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numPr>
                <w:ilvl w:val="2"/>
                <w:numId w:val="32"/>
              </w:numPr>
              <w:contextualSpacing/>
              <w:ind w:firstLine="0"/>
              <w:jc w:val="center"/>
              <w:spacing w:before="60" w:after="60" w:line="276" w:lineRule="auto"/>
              <w:rPr>
                <w:rFonts w:eastAsia="Calibri"/>
                <w:sz w:val="22"/>
                <w:szCs w:val="22"/>
                <w:highlight w:val="green"/>
              </w:rPr>
            </w:pPr>
            <w:r>
              <w:rPr>
                <w:rFonts w:eastAsia="Calibri"/>
                <w:sz w:val="22"/>
                <w:szCs w:val="22"/>
                <w:highlight w:val="green"/>
              </w:rPr>
            </w:r>
            <w:r>
              <w:rPr>
                <w:rFonts w:eastAsia="Calibri"/>
                <w:sz w:val="22"/>
                <w:szCs w:val="22"/>
                <w:highlight w:val="green"/>
              </w:rPr>
            </w:r>
            <w:r>
              <w:rPr>
                <w:rFonts w:eastAsia="Calibri"/>
                <w:sz w:val="22"/>
                <w:szCs w:val="22"/>
                <w:highlight w:val="green"/>
              </w:rPr>
            </w:r>
          </w:p>
        </w:tc>
        <w:tc>
          <w:tcPr>
            <w:tcW w:w="2531" w:type="dxa"/>
            <w:vMerge w:val="continue"/>
            <w:textDirection w:val="lrTb"/>
            <w:noWrap w:val="false"/>
          </w:tcPr>
          <w:p>
            <w:pPr>
              <w:ind w:firstLine="0"/>
              <w:spacing w:before="60"/>
              <w:widowControl w:val="off"/>
              <w:tabs>
                <w:tab w:val="left" w:pos="426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6759" w:type="dxa"/>
            <w:textDirection w:val="lrTb"/>
            <w:noWrap w:val="false"/>
          </w:tcPr>
          <w:p>
            <w:pPr>
              <w:ind w:left="0" w:right="0" w:firstLine="0"/>
              <w:jc w:val="both"/>
              <w:spacing w:line="240" w:lineRule="auto"/>
              <w:shd w:val="clear" w:color="auto" w:fill="ffffff"/>
              <w:tabs>
                <w:tab w:val="left" w:pos="1276" w:leader="none"/>
                <w:tab w:val="left" w:pos="1418" w:leader="none"/>
              </w:tabs>
              <w:rPr>
                <w:highlight w:val="none"/>
                <w14:ligatures w14:val="non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  <w:t xml:space="preserve">В</w:t>
            </w:r>
            <w:r>
              <w:rPr>
                <w:highlight w:val="white"/>
              </w:rPr>
              <w:t xml:space="preserve"> течение 5 (пяти) календарных дней с даты заключения Договора предоставить Заказчику на согласование Проект Производства Работ (ППР) с указанием общих методов и технологии работ, организационных вопросов</w:t>
            </w:r>
            <w:r>
              <w:rPr>
                <w:highlight w:val="white"/>
              </w:rPr>
              <w:t xml:space="preserve">.</w:t>
            </w:r>
            <w:r>
              <w:rPr>
                <w:highlight w:val="none"/>
                <w14:ligatures w14:val="none"/>
              </w:rPr>
            </w:r>
            <w:r>
              <w:rPr>
                <w:highlight w:val="none"/>
                <w14:ligatures w14:val="none"/>
              </w:rPr>
            </w:r>
          </w:p>
          <w:p>
            <w:pPr>
              <w:ind w:left="0" w:right="0" w:firstLine="0"/>
              <w:jc w:val="both"/>
              <w:spacing w:line="240" w:lineRule="auto"/>
              <w:shd w:val="clear" w:color="auto" w:fill="ffffff"/>
              <w:tabs>
                <w:tab w:val="left" w:pos="1276" w:leader="none"/>
                <w:tab w:val="left" w:pos="1418" w:leader="none"/>
              </w:tabs>
              <w:rPr>
                <w:highlight w:val="white"/>
                <w14:ligatures w14:val="none"/>
              </w:rPr>
            </w:pPr>
            <w:r>
              <w:rPr>
                <w:highlight w:val="none"/>
              </w:rPr>
            </w:r>
            <w:r>
              <w:rPr>
                <w:highlight w:val="white"/>
                <w14:ligatures w14:val="none"/>
              </w:rPr>
            </w:r>
            <w:r>
              <w:rPr>
                <w:highlight w:val="white"/>
                <w14:ligatures w14:val="none"/>
              </w:rPr>
            </w:r>
          </w:p>
        </w:tc>
        <w:tc>
          <w:tcPr>
            <w:gridSpan w:val="2"/>
            <w:tcW w:w="2444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994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2"/>
                <w:numId w:val="32"/>
              </w:numPr>
              <w:contextualSpacing/>
              <w:ind w:firstLine="0"/>
              <w:jc w:val="center"/>
              <w:spacing w:before="60" w:after="60" w:line="276" w:lineRule="auto"/>
              <w:rPr>
                <w:rFonts w:eastAsia="Calibri"/>
                <w:sz w:val="22"/>
                <w:szCs w:val="22"/>
                <w:highlight w:val="green"/>
              </w:rPr>
            </w:pPr>
            <w:r>
              <w:rPr>
                <w:rFonts w:eastAsia="Calibri"/>
                <w:sz w:val="22"/>
                <w:szCs w:val="22"/>
                <w:highlight w:val="green"/>
              </w:rPr>
            </w:r>
            <w:r>
              <w:rPr>
                <w:rFonts w:eastAsia="Calibri"/>
                <w:sz w:val="22"/>
                <w:szCs w:val="22"/>
                <w:highlight w:val="green"/>
              </w:rPr>
            </w:r>
            <w:r>
              <w:rPr>
                <w:rFonts w:eastAsia="Calibri"/>
                <w:sz w:val="22"/>
                <w:szCs w:val="22"/>
                <w:highlight w:val="green"/>
              </w:rPr>
            </w:r>
          </w:p>
        </w:tc>
        <w:tc>
          <w:tcPr>
            <w:tcW w:w="2531" w:type="dxa"/>
            <w:vMerge w:val="continue"/>
            <w:textDirection w:val="lrTb"/>
            <w:noWrap w:val="false"/>
          </w:tcPr>
          <w:p>
            <w:pPr>
              <w:ind w:firstLine="0"/>
              <w:spacing w:before="60"/>
              <w:widowControl w:val="off"/>
              <w:tabs>
                <w:tab w:val="left" w:pos="426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gridSpan w:val="3"/>
            <w:tcBorders>
              <w:top w:val="single" w:color="000000" w:sz="4" w:space="0"/>
            </w:tcBorders>
            <w:tcW w:w="6759" w:type="dxa"/>
            <w:vMerge w:val="restart"/>
            <w:textDirection w:val="lrTb"/>
            <w:noWrap w:val="false"/>
          </w:tcPr>
          <w:p>
            <w:pPr>
              <w:pStyle w:val="804"/>
              <w:ind w:firstLine="0"/>
              <w:jc w:val="both"/>
              <w:spacing w:before="0" w:after="0" w:line="240" w:lineRule="auto"/>
              <w:shd w:val="clear" w:color="auto" w:fill="ffffff"/>
              <w:widowControl/>
              <w:tabs>
                <w:tab w:val="clear" w:pos="709" w:leader="none"/>
                <w:tab w:val="left" w:pos="1276" w:leader="none"/>
                <w:tab w:val="left" w:pos="1418" w:leader="none"/>
              </w:tabs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  <w:lang w:val="ru-RU" w:bidi="ar-SA"/>
              </w:rPr>
              <w:t xml:space="preserve">Обеспечить наличие действующих свидетельств о готовности организации</w:t>
            </w:r>
            <w:r>
              <w:rPr>
                <w:bCs/>
                <w:sz w:val="24"/>
                <w:szCs w:val="24"/>
                <w:highlight w:val="white"/>
                <w:lang w:val="ru-RU" w:bidi="ar-SA"/>
              </w:rPr>
              <w:t xml:space="preserve"> к применению аттестованной технологии сварки, свидетельства об аттестации сварочного оборудования и сварочных материалов (в соответствии с требованиями РД 03-615-03, РД 03-614-03, Приказа 519 от 11.12.2020 Ростехнадзора) с предоставлением до начала работ: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  <w:p>
            <w:pPr>
              <w:pStyle w:val="804"/>
              <w:ind w:firstLine="0"/>
              <w:jc w:val="both"/>
              <w:spacing w:before="60" w:after="0" w:line="240" w:lineRule="auto"/>
              <w:widowControl w:val="off"/>
              <w:tabs>
                <w:tab w:val="left" w:pos="426" w:leader="none"/>
                <w:tab w:val="clear" w:pos="709" w:leader="none"/>
              </w:tabs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  <w:lang w:val="ru-RU" w:bidi="ar-SA"/>
              </w:rPr>
              <w:t xml:space="preserve">1. копии свидетельств об аттестации технологии сварки (группа технических устройств ОПО, способ сварки РД: котельное оборудование (КО-2); строительные конструкции СК-1,СК-2, СК-3);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  <w:p>
            <w:pPr>
              <w:pStyle w:val="804"/>
              <w:ind w:firstLine="0"/>
              <w:jc w:val="both"/>
              <w:spacing w:before="60" w:after="0" w:line="240" w:lineRule="auto"/>
              <w:widowControl w:val="off"/>
              <w:tabs>
                <w:tab w:val="left" w:pos="426" w:leader="none"/>
                <w:tab w:val="clear" w:pos="709" w:leader="none"/>
              </w:tabs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  <w:lang w:val="ru-RU" w:bidi="ar-SA"/>
              </w:rPr>
              <w:t xml:space="preserve">2.копию свидетельства об аттестации сварочного оборудования (группа технических устройств ОПО, способ сварки РД: котельное оборудование (КО-2); строительные конструкции СК-1,СК-2, СК-3);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  <w:p>
            <w:pPr>
              <w:pStyle w:val="804"/>
              <w:ind w:firstLine="0"/>
              <w:jc w:val="both"/>
              <w:spacing w:before="60" w:after="0" w:line="240" w:lineRule="auto"/>
              <w:widowControl w:val="off"/>
              <w:tabs>
                <w:tab w:val="left" w:pos="426" w:leader="none"/>
                <w:tab w:val="clear" w:pos="709" w:leader="none"/>
              </w:tabs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  <w:lang w:val="ru-RU" w:bidi="ar-SA"/>
              </w:rPr>
              <w:t xml:space="preserve">3.копию свидетельства об аттестации сварочных материалов (группа технических устройств ОПО, способ сварки РД: котельное оборудование (КО-2); строительные конструкции СК-1,СК-2, СК-3);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  <w:p>
            <w:pPr>
              <w:pStyle w:val="804"/>
              <w:ind w:firstLine="0"/>
              <w:jc w:val="both"/>
              <w:spacing w:before="60" w:after="0" w:line="240" w:lineRule="auto"/>
              <w:widowControl w:val="off"/>
              <w:tabs>
                <w:tab w:val="left" w:pos="426" w:leader="none"/>
                <w:tab w:val="clear" w:pos="709" w:leader="none"/>
              </w:tabs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  <w:lang w:val="ru-RU" w:bidi="ar-SA"/>
              </w:rPr>
              <w:t xml:space="preserve">4.копию свидетельства об аттестации лаборатории неразрушающего контроля по методам и объемам контроля;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  <w:p>
            <w:pPr>
              <w:pStyle w:val="804"/>
              <w:ind w:firstLine="0"/>
              <w:jc w:val="both"/>
              <w:spacing w:before="60" w:after="0" w:line="240" w:lineRule="auto"/>
              <w:widowControl w:val="off"/>
              <w:tabs>
                <w:tab w:val="left" w:pos="426" w:leader="none"/>
                <w:tab w:val="clear" w:pos="709" w:leader="none"/>
              </w:tabs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  <w:lang w:val="ru-RU" w:bidi="ar-SA"/>
              </w:rPr>
              <w:t xml:space="preserve">5.при отсутствии своей лаборатории - копию действующего договора со сторонней аттестованной лабораторией неразрушающего контроля;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  <w:p>
            <w:pPr>
              <w:pStyle w:val="804"/>
              <w:ind w:firstLine="0"/>
              <w:jc w:val="both"/>
              <w:spacing w:before="0" w:after="0" w:line="240" w:lineRule="auto"/>
              <w:shd w:val="clear" w:color="auto" w:fill="ffffff"/>
              <w:widowControl/>
              <w:tabs>
                <w:tab w:val="clear" w:pos="709" w:leader="none"/>
                <w:tab w:val="left" w:pos="1276" w:leader="none"/>
                <w:tab w:val="left" w:pos="1418" w:leader="none"/>
              </w:tabs>
              <w:rPr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  <w:lang w:val="ru-RU" w:bidi="ar-SA"/>
              </w:rPr>
              <w:t xml:space="preserve">6.копии действующих свидетельств о поверке приборов неразрушающего контроля, которые будут использованы для выполнения объемов работ.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left="0" w:right="0" w:firstLine="0"/>
              <w:jc w:val="both"/>
              <w:spacing w:before="60" w:line="240" w:lineRule="auto"/>
              <w:widowControl w:val="off"/>
              <w:tabs>
                <w:tab w:val="left" w:pos="426" w:leader="none"/>
              </w:tabs>
            </w:pPr>
            <w:r/>
            <w:r/>
          </w:p>
        </w:tc>
        <w:tc>
          <w:tcPr>
            <w:gridSpan w:val="2"/>
            <w:tcW w:w="2444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numPr>
                <w:ilvl w:val="2"/>
                <w:numId w:val="32"/>
              </w:numPr>
              <w:contextualSpacing/>
              <w:ind w:firstLine="0"/>
              <w:jc w:val="center"/>
              <w:spacing w:before="60" w:after="60" w:line="276" w:lineRule="auto"/>
              <w:rPr>
                <w:rFonts w:eastAsia="Calibri"/>
                <w:sz w:val="22"/>
                <w:szCs w:val="22"/>
                <w:highlight w:val="green"/>
              </w:rPr>
            </w:pPr>
            <w:r>
              <w:rPr>
                <w:rFonts w:eastAsia="Calibri"/>
                <w:sz w:val="22"/>
                <w:szCs w:val="22"/>
                <w:highlight w:val="green"/>
              </w:rPr>
            </w:r>
            <w:r>
              <w:rPr>
                <w:rFonts w:eastAsia="Calibri"/>
                <w:sz w:val="22"/>
                <w:szCs w:val="22"/>
                <w:highlight w:val="green"/>
              </w:rPr>
            </w:r>
            <w:r>
              <w:rPr>
                <w:rFonts w:eastAsia="Calibri"/>
                <w:sz w:val="22"/>
                <w:szCs w:val="22"/>
                <w:highlight w:val="green"/>
              </w:rPr>
            </w:r>
          </w:p>
        </w:tc>
        <w:tc>
          <w:tcPr>
            <w:tcW w:w="2531" w:type="dxa"/>
            <w:vMerge w:val="continue"/>
            <w:textDirection w:val="lrTb"/>
            <w:noWrap w:val="false"/>
          </w:tcPr>
          <w:p>
            <w:pPr>
              <w:ind w:firstLine="0"/>
              <w:spacing w:before="60"/>
              <w:widowControl w:val="off"/>
              <w:tabs>
                <w:tab w:val="left" w:pos="426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6759" w:type="dxa"/>
            <w:textDirection w:val="lrTb"/>
            <w:noWrap w:val="false"/>
          </w:tcPr>
          <w:p>
            <w:pPr>
              <w:ind w:left="0" w:right="0" w:firstLine="0"/>
              <w:jc w:val="both"/>
              <w:spacing w:before="60" w:line="240" w:lineRule="auto"/>
              <w:widowControl w:val="off"/>
              <w:tabs>
                <w:tab w:val="left" w:pos="426" w:leader="none"/>
              </w:tabs>
              <w:rPr>
                <w:highlight w:val="none"/>
                <w14:ligatures w14:val="none"/>
              </w:rPr>
            </w:pPr>
            <w:r>
              <w:t xml:space="preserve">Также Подрядчик должен выполнить утилизацию строительного мусора с предоставлением отчетных документов.</w:t>
            </w:r>
            <w:r>
              <w:rPr>
                <w:highlight w:val="none"/>
                <w14:ligatures w14:val="none"/>
              </w:rPr>
            </w:r>
            <w:r>
              <w:rPr>
                <w:highlight w:val="none"/>
                <w14:ligatures w14:val="none"/>
              </w:rPr>
            </w:r>
          </w:p>
          <w:p>
            <w:pPr>
              <w:ind w:left="0" w:right="0" w:firstLine="0"/>
              <w:jc w:val="both"/>
              <w:spacing w:before="60" w:line="240" w:lineRule="auto"/>
              <w:widowControl w:val="off"/>
              <w:tabs>
                <w:tab w:val="left" w:pos="426" w:leader="none"/>
              </w:tabs>
              <w:rPr>
                <w14:ligatures w14:val="none"/>
              </w:rPr>
            </w:pPr>
            <w:r>
              <w:rPr>
                <w:highlight w:val="none"/>
              </w:rPr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gridSpan w:val="2"/>
            <w:tcW w:w="2444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04"/>
        </w:trPr>
        <w:tc>
          <w:tcPr>
            <w:tcW w:w="994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32"/>
              </w:numPr>
              <w:contextualSpacing/>
              <w:ind w:left="142" w:right="0" w:firstLine="0"/>
              <w:jc w:val="center"/>
              <w:spacing w:before="60" w:after="60" w:line="276" w:lineRule="auto"/>
              <w:rPr>
                <w:rFonts w:eastAsia="Calibri"/>
                <w:color w:val="ff0000"/>
                <w:sz w:val="22"/>
                <w:szCs w:val="22"/>
              </w:rPr>
            </w:pPr>
            <w:r>
              <w:rPr>
                <w:rFonts w:eastAsia="Calibri"/>
                <w:color w:val="ff0000"/>
                <w:sz w:val="22"/>
                <w:szCs w:val="22"/>
              </w:rPr>
            </w:r>
            <w:r>
              <w:rPr>
                <w:rFonts w:eastAsia="Calibri"/>
                <w:color w:val="ff0000"/>
                <w:sz w:val="22"/>
                <w:szCs w:val="22"/>
              </w:rPr>
            </w:r>
            <w:r>
              <w:rPr>
                <w:rFonts w:eastAsia="Calibri"/>
                <w:color w:val="ff0000"/>
                <w:sz w:val="22"/>
                <w:szCs w:val="22"/>
              </w:rPr>
            </w:r>
          </w:p>
        </w:tc>
        <w:tc>
          <w:tcPr>
            <w:gridSpan w:val="4"/>
            <w:tcW w:w="9289" w:type="dxa"/>
            <w:vAlign w:val="center"/>
            <w:textDirection w:val="lrTb"/>
            <w:noWrap w:val="false"/>
          </w:tcPr>
          <w:p>
            <w:pPr>
              <w:ind w:firstLine="0"/>
              <w:jc w:val="both"/>
              <w:spacing w:before="60" w:line="240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</w:t>
            </w:r>
            <w:r>
              <w:rPr>
                <w:b/>
                <w:sz w:val="24"/>
                <w:szCs w:val="24"/>
              </w:rPr>
              <w:t xml:space="preserve">используемым материалам, </w:t>
            </w:r>
            <w:r>
              <w:rPr>
                <w:b/>
                <w:sz w:val="24"/>
                <w:szCs w:val="24"/>
              </w:rPr>
              <w:t xml:space="preserve">контролю качества работ и </w:t>
            </w:r>
            <w:r>
              <w:rPr>
                <w:b/>
                <w:sz w:val="24"/>
                <w:szCs w:val="24"/>
              </w:rPr>
              <w:t xml:space="preserve">материалов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2444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  <w:tc>
          <w:tcPr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94" w:type="dxa"/>
            <w:vAlign w:val="center"/>
            <w:textDirection w:val="lrTb"/>
            <w:noWrap w:val="false"/>
          </w:tcPr>
          <w:p>
            <w:pPr>
              <w:contextualSpacing/>
              <w:ind w:left="142" w:right="0" w:firstLine="0"/>
              <w:spacing w:before="60" w:after="6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1.3.1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2531" w:type="dxa"/>
            <w:textDirection w:val="lrTb"/>
            <w:noWrap w:val="false"/>
          </w:tcPr>
          <w:p>
            <w:pPr>
              <w:ind w:firstLine="0"/>
              <w:jc w:val="left"/>
              <w:spacing w:before="60" w:line="240" w:lineRule="auto"/>
              <w:widowControl w:val="off"/>
              <w:tabs>
                <w:tab w:val="left" w:pos="426" w:leader="none"/>
              </w:tabs>
              <w:rPr>
                <w:bCs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Требования к используемым </w:t>
            </w:r>
            <w:r>
              <w:rPr>
                <w:i w:val="0"/>
                <w:iCs w:val="0"/>
                <w:sz w:val="24"/>
                <w:szCs w:val="24"/>
              </w:rPr>
              <w:t xml:space="preserve">материально – техническим ресурсам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ind w:firstLine="0"/>
              <w:spacing w:before="60" w:line="240" w:lineRule="auto"/>
              <w:widowControl w:val="off"/>
              <w:tabs>
                <w:tab w:val="left" w:pos="426" w:leader="none"/>
              </w:tabs>
              <w:rPr>
                <w:bCs/>
                <w:i w:val="0"/>
                <w:iCs w:val="0"/>
                <w:color w:val="ff000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bCs/>
                <w:i w:val="0"/>
                <w:iCs w:val="0"/>
                <w:color w:val="ff0000"/>
                <w:sz w:val="24"/>
                <w:szCs w:val="24"/>
              </w:rPr>
            </w:r>
            <w:r>
              <w:rPr>
                <w:bCs/>
                <w:i w:val="0"/>
                <w:iCs w:val="0"/>
                <w:color w:val="ff0000"/>
                <w:sz w:val="24"/>
                <w:szCs w:val="24"/>
              </w:rPr>
            </w:r>
          </w:p>
        </w:tc>
        <w:tc>
          <w:tcPr>
            <w:gridSpan w:val="3"/>
            <w:tcW w:w="6759" w:type="dxa"/>
            <w:textDirection w:val="lrTb"/>
            <w:noWrap w:val="false"/>
          </w:tcPr>
          <w:p>
            <w:pPr>
              <w:ind w:left="0" w:right="0" w:firstLine="0"/>
              <w:jc w:val="both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</w:rPr>
              <w:t xml:space="preserve">Материалы, необходимые для выполнения работ, приобретаются Подрядчиком самостоятельно в соответствии с </w:t>
            </w:r>
            <w:r>
              <w:rPr>
                <w:sz w:val="24"/>
                <w:szCs w:val="24"/>
              </w:rPr>
              <w:t xml:space="preserve">Постановлением Правительства Российской Федерации от 23 декабря 2</w:t>
            </w:r>
            <w:r>
              <w:rPr>
                <w:sz w:val="24"/>
                <w:szCs w:val="24"/>
              </w:rPr>
              <w:t xml:space="preserve">024 г.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а также согласно Приложени</w:t>
            </w:r>
            <w:r>
              <w:rPr>
                <w:bCs/>
                <w:sz w:val="24"/>
                <w:szCs w:val="24"/>
              </w:rPr>
              <w:t xml:space="preserve">ю № 3 к настоящим Техническим требованиям.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both"/>
              <w:spacing w:line="240" w:lineRule="auto"/>
              <w:rPr>
                <w:sz w:val="10"/>
                <w:szCs w:val="10"/>
              </w:rPr>
            </w:pPr>
            <w:r>
              <w:rPr>
                <w:bCs/>
                <w:sz w:val="10"/>
                <w:szCs w:val="10"/>
                <w:highlight w:val="none"/>
              </w:rPr>
            </w:r>
            <w:r>
              <w:rPr>
                <w:sz w:val="10"/>
                <w:szCs w:val="10"/>
              </w:rPr>
            </w:r>
            <w:r>
              <w:rPr>
                <w:sz w:val="10"/>
                <w:szCs w:val="10"/>
              </w:rPr>
            </w:r>
          </w:p>
          <w:p>
            <w:pPr>
              <w:ind w:left="0" w:right="0" w:firstLine="0"/>
              <w:jc w:val="both"/>
              <w:spacing w:line="240" w:lineRule="auto"/>
              <w:shd w:val="clear" w:color="auto" w:fill="ffffff"/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Все применяемые материалы должны быть новыми и не использованными ранее, без повреждений.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both"/>
              <w:spacing w:line="240" w:lineRule="auto"/>
              <w:shd w:val="clear" w:color="auto" w:fill="ffffff"/>
              <w:widowControl w:val="off"/>
              <w:rPr>
                <w:sz w:val="10"/>
                <w:szCs w:val="10"/>
              </w:rPr>
            </w:pPr>
            <w:r>
              <w:rPr>
                <w:sz w:val="10"/>
                <w:szCs w:val="10"/>
                <w:highlight w:val="none"/>
              </w:rPr>
            </w:r>
            <w:r>
              <w:rPr>
                <w:sz w:val="10"/>
                <w:szCs w:val="10"/>
              </w:rPr>
            </w:r>
            <w:r>
              <w:rPr>
                <w:sz w:val="10"/>
                <w:szCs w:val="10"/>
              </w:rPr>
            </w:r>
          </w:p>
          <w:p>
            <w:pPr>
              <w:ind w:left="0" w:right="0" w:firstLine="0"/>
              <w:jc w:val="both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  <w:highlight w:val="white"/>
              </w:rPr>
              <w:t xml:space="preserve">одрядчиком в работе могут быть применены эквивалентные материалы*, которые должны быт</w:t>
            </w:r>
            <w:r>
              <w:rPr>
                <w:sz w:val="24"/>
                <w:szCs w:val="24"/>
                <w:highlight w:val="white"/>
              </w:rPr>
              <w:t xml:space="preserve">ь предварительно согласова</w:t>
            </w:r>
            <w:r>
              <w:rPr>
                <w:sz w:val="24"/>
                <w:szCs w:val="24"/>
                <w:highlight w:val="white"/>
              </w:rPr>
              <w:t xml:space="preserve">ны с Заказчиком письменно.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both"/>
              <w:spacing w:line="240" w:lineRule="auto"/>
              <w:rPr>
                <w:sz w:val="10"/>
                <w:szCs w:val="10"/>
                <w:highlight w:val="white"/>
              </w:rPr>
            </w:pPr>
            <w:r>
              <w:rPr>
                <w:sz w:val="10"/>
                <w:szCs w:val="10"/>
                <w:highlight w:val="none"/>
              </w:rPr>
            </w:r>
            <w:r>
              <w:rPr>
                <w:sz w:val="10"/>
                <w:szCs w:val="10"/>
                <w:highlight w:val="white"/>
              </w:rPr>
            </w:r>
            <w:r>
              <w:rPr>
                <w:sz w:val="10"/>
                <w:szCs w:val="10"/>
                <w:highlight w:val="white"/>
              </w:rPr>
            </w:r>
          </w:p>
          <w:p>
            <w:pPr>
              <w:ind w:firstLine="0"/>
              <w:jc w:val="both"/>
              <w:spacing w:line="240" w:lineRule="auto"/>
              <w:rPr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В случае, если на этапе исполнения договора Подрядчиком, вместо материалов конкретных торговых знаков, марок и/или наименований, указанных в </w:t>
            </w:r>
            <w:r>
              <w:rPr>
                <w:sz w:val="24"/>
                <w:szCs w:val="24"/>
                <w:highlight w:val="white"/>
              </w:rPr>
              <w:t xml:space="preserve">Ведомости</w:t>
            </w:r>
            <w:r>
              <w:rPr>
                <w:sz w:val="24"/>
                <w:szCs w:val="24"/>
                <w:highlight w:val="white"/>
              </w:rPr>
              <w:t xml:space="preserve"> материалов </w:t>
            </w:r>
            <w:r>
              <w:rPr>
                <w:b w:val="0"/>
                <w:bCs w:val="0"/>
                <w:szCs w:val="24"/>
                <w:highlight w:val="white"/>
              </w:rPr>
              <w:t xml:space="preserve"> приобретаемых Подрядчиком</w:t>
            </w:r>
            <w:r>
              <w:rPr>
                <w:sz w:val="24"/>
                <w:szCs w:val="24"/>
                <w:highlight w:val="white"/>
              </w:rPr>
              <w:t xml:space="preserve"> (Приложение № 3 к настоящим ТТ), а также</w:t>
            </w:r>
            <w:r>
              <w:rPr>
                <w:sz w:val="24"/>
                <w:szCs w:val="24"/>
                <w:highlight w:val="white"/>
              </w:rPr>
              <w:t xml:space="preserve"> Ведомости объемов работ (Приложение № 2</w:t>
            </w:r>
            <w:r>
              <w:rPr>
                <w:sz w:val="24"/>
                <w:szCs w:val="24"/>
                <w:highlight w:val="white"/>
              </w:rPr>
              <w:t xml:space="preserve"> к настоящим ТТ), будет применяться эквивалентная продукция*, Подрядчик принимает на себя все затраты по внесению соответствующих изменений в проектную и сметную документацию, а также согласованию ее с Заказчиком без увеличения общей стоимости по Договору.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both"/>
              <w:spacing w:line="240" w:lineRule="auto"/>
              <w:rPr>
                <w:bCs/>
                <w:i/>
                <w:sz w:val="24"/>
                <w:szCs w:val="24"/>
                <w:highlight w:val="none"/>
              </w:rPr>
            </w:pPr>
            <w:r>
              <w:rPr>
                <w:i/>
                <w:sz w:val="24"/>
                <w:szCs w:val="24"/>
                <w:highlight w:val="white"/>
              </w:rPr>
              <w:t xml:space="preserve">* Эквивалентная продукция - это продукция, которая по техническим и функциональным характеристикам не уступает характеристикам, указанных в перечне м</w:t>
            </w:r>
            <w:r>
              <w:rPr>
                <w:i/>
                <w:sz w:val="24"/>
                <w:szCs w:val="24"/>
              </w:rPr>
              <w:t xml:space="preserve">атериалов Подрядчика и технической документации.</w:t>
            </w:r>
            <w:r>
              <w:rPr>
                <w:bCs/>
                <w:i/>
                <w:sz w:val="24"/>
                <w:szCs w:val="24"/>
                <w:highlight w:val="none"/>
              </w:rPr>
            </w:r>
            <w:r>
              <w:rPr>
                <w:bCs/>
                <w:i/>
                <w:sz w:val="24"/>
                <w:szCs w:val="24"/>
                <w:highlight w:val="none"/>
              </w:rPr>
            </w:r>
          </w:p>
          <w:p>
            <w:pPr>
              <w:ind w:firstLine="0"/>
              <w:jc w:val="both"/>
              <w:spacing w:line="240" w:lineRule="auto"/>
              <w:rPr>
                <w:color w:val="ff0000"/>
                <w:sz w:val="24"/>
                <w:szCs w:val="24"/>
              </w:rPr>
            </w:pPr>
            <w:r>
              <w:rPr>
                <w:i/>
                <w:sz w:val="24"/>
                <w:szCs w:val="24"/>
                <w:highlight w:val="none"/>
              </w:rPr>
            </w:r>
            <w:r>
              <w:rPr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2444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94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142" w:right="0" w:firstLine="0"/>
              <w:spacing w:before="60" w:after="6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1.3.2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2531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before="60" w:line="240" w:lineRule="auto"/>
              <w:widowControl w:val="off"/>
              <w:tabs>
                <w:tab w:val="left" w:pos="426" w:leader="none"/>
              </w:tabs>
              <w:rPr>
                <w:bCs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Контроль качества используемых запасных частей и материалов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ind w:firstLine="0"/>
              <w:jc w:val="left"/>
              <w:spacing w:before="60" w:line="240" w:lineRule="auto"/>
              <w:widowControl w:val="off"/>
              <w:tabs>
                <w:tab w:val="left" w:pos="426" w:leader="none"/>
              </w:tabs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gridSpan w:val="3"/>
            <w:tcW w:w="6759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spacing w:after="0" w:afterAutospacing="0" w:line="240" w:lineRule="auto"/>
              <w:rPr>
                <w:bCs w:val="0"/>
                <w:i w:val="0"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i w:val="0"/>
                <w:iCs w:val="0"/>
                <w:sz w:val="24"/>
                <w:szCs w:val="24"/>
              </w:rPr>
              <w:t xml:space="preserve">Р</w:t>
            </w:r>
            <w:r>
              <w:rPr>
                <w:i w:val="0"/>
                <w:iCs w:val="0"/>
                <w:sz w:val="24"/>
                <w:szCs w:val="24"/>
              </w:rPr>
              <w:t xml:space="preserve">уководители работ Подрядчика совместно с представителями Заказчика, осуществляют входной контроль качества применяемых материалов и запасных частей</w:t>
            </w:r>
            <w:r>
              <w:rPr>
                <w:i w:val="0"/>
                <w:iCs w:val="0"/>
                <w:sz w:val="24"/>
                <w:szCs w:val="24"/>
              </w:rPr>
              <w:t xml:space="preserve">. </w:t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both"/>
              <w:spacing w:after="0" w:afterAutospacing="0" w:line="240" w:lineRule="auto"/>
              <w:rPr>
                <w:bCs/>
                <w:i/>
                <w:sz w:val="10"/>
                <w:szCs w:val="10"/>
                <w:highlight w:val="white"/>
              </w:rPr>
            </w:pPr>
            <w:r>
              <w:rPr>
                <w:i w:val="0"/>
                <w:iCs w:val="0"/>
                <w:sz w:val="10"/>
                <w:szCs w:val="10"/>
                <w:highlight w:val="none"/>
              </w:rPr>
            </w:r>
            <w:r>
              <w:rPr>
                <w:bCs/>
                <w:i/>
                <w:sz w:val="10"/>
                <w:szCs w:val="10"/>
                <w:highlight w:val="white"/>
              </w:rPr>
            </w:r>
            <w:r>
              <w:rPr>
                <w:bCs/>
                <w:i/>
                <w:sz w:val="10"/>
                <w:szCs w:val="10"/>
                <w:highlight w:val="white"/>
              </w:rPr>
            </w:r>
          </w:p>
          <w:p>
            <w:pPr>
              <w:ind w:left="0" w:right="0" w:firstLine="0"/>
              <w:jc w:val="both"/>
              <w:spacing w:after="0" w:afterAutospacing="0" w:line="240" w:lineRule="auto"/>
              <w:rPr>
                <w:bCs w:val="0"/>
                <w:i w:val="0"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М</w:t>
            </w: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атериалы Подрядчика должны иметь сертификаты, паспорта и другие документы, подтверждающие их качество. </w:t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both"/>
              <w:spacing w:after="0" w:afterAutospacing="0" w:line="240" w:lineRule="auto"/>
              <w:rPr>
                <w:bCs/>
                <w:i/>
                <w:sz w:val="10"/>
                <w:szCs w:val="10"/>
              </w:rPr>
            </w:pPr>
            <w:r>
              <w:rPr>
                <w:i w:val="0"/>
                <w:iCs w:val="0"/>
                <w:sz w:val="10"/>
                <w:szCs w:val="10"/>
                <w:highlight w:val="none"/>
              </w:rPr>
            </w:r>
            <w:r>
              <w:rPr>
                <w:bCs/>
                <w:i/>
                <w:sz w:val="10"/>
                <w:szCs w:val="10"/>
              </w:rPr>
            </w:r>
            <w:r>
              <w:rPr>
                <w:bCs/>
                <w:i/>
                <w:sz w:val="10"/>
                <w:szCs w:val="10"/>
              </w:rPr>
            </w:r>
          </w:p>
          <w:p>
            <w:pPr>
              <w:ind w:left="0" w:right="0" w:firstLine="0"/>
              <w:jc w:val="both"/>
              <w:spacing w:after="0" w:afterAutospacing="0" w:line="240" w:lineRule="auto"/>
              <w:rPr>
                <w:i w:val="0"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При осуществлении Подрядчиком входного контроля качества материально-технических ресу</w:t>
            </w:r>
            <w:r>
              <w:rPr>
                <w:i w:val="0"/>
                <w:iCs w:val="0"/>
                <w:sz w:val="24"/>
                <w:szCs w:val="24"/>
              </w:rPr>
              <w:t xml:space="preserve">рсов, поступивших на место производства работ, обязательно нал</w:t>
            </w:r>
            <w:r>
              <w:rPr>
                <w:i w:val="0"/>
                <w:iCs w:val="0"/>
                <w:sz w:val="24"/>
                <w:szCs w:val="24"/>
              </w:rPr>
              <w:t xml:space="preserve">ичие и ведение журнала входного учета и контроля качества получаемых материалов. Отсутствие записи о приемке материалов и оборудовании в данном журнале дает основание Заказчику в отказе приемки выполненных работ с использованием соответствующих материалов.</w:t>
            </w:r>
            <w:r>
              <w:rPr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i w:val="0"/>
                <w:sz w:val="24"/>
                <w:szCs w:val="24"/>
                <w:highlight w:val="none"/>
              </w:rPr>
            </w:r>
            <w:r>
              <w:rPr>
                <w:i w:val="0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both"/>
              <w:spacing w:after="0" w:afterAutospacing="0" w:line="240" w:lineRule="auto"/>
              <w:rPr>
                <w:bCs w:val="0"/>
                <w:i w:val="0"/>
                <w:sz w:val="24"/>
                <w:szCs w:val="24"/>
                <w:highlight w:val="white"/>
              </w:rPr>
            </w:pPr>
            <w:r>
              <w:rPr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bCs w:val="0"/>
                <w:i w:val="0"/>
                <w:sz w:val="24"/>
                <w:szCs w:val="24"/>
                <w:highlight w:val="white"/>
              </w:rPr>
            </w:r>
            <w:r>
              <w:rPr>
                <w:bCs w:val="0"/>
                <w:i w:val="0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2444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94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142" w:right="0" w:firstLine="0"/>
              <w:spacing w:before="60" w:after="6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1.3.3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2531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before="60" w:line="240" w:lineRule="auto"/>
              <w:widowControl w:val="off"/>
              <w:tabs>
                <w:tab w:val="left" w:pos="426" w:leader="none"/>
              </w:tabs>
              <w:rPr>
                <w:bCs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Контроль качества работ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ind w:firstLine="0"/>
              <w:jc w:val="left"/>
              <w:spacing w:before="60" w:line="240" w:lineRule="auto"/>
              <w:widowControl w:val="off"/>
              <w:tabs>
                <w:tab w:val="left" w:pos="426" w:leader="none"/>
              </w:tabs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gridSpan w:val="3"/>
            <w:tcW w:w="6759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spacing w:after="0" w:afterAutospacing="0" w:line="240" w:lineRule="auto"/>
              <w:rPr>
                <w:bCs w:val="0"/>
                <w:i w:val="0"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В соответствии с законом </w:t>
            </w:r>
            <w:r>
              <w:rPr>
                <w:color w:val="000000" w:themeColor="text1"/>
                <w:szCs w:val="24"/>
                <w:highlight w:val="white"/>
                <w:lang w:val="ru-RU" w:bidi="ar-SA"/>
              </w:rPr>
              <w:t xml:space="preserve">от 27.12.2002 г</w:t>
            </w:r>
            <w:r>
              <w:rPr>
                <w:color w:val="000000" w:themeColor="text1"/>
                <w:szCs w:val="24"/>
                <w:highlight w:val="white"/>
                <w:lang w:val="ru-RU" w:bidi="ar-SA"/>
              </w:rPr>
              <w:t xml:space="preserve"> </w:t>
            </w:r>
            <w:r>
              <w:rPr>
                <w:i w:val="0"/>
                <w:iCs w:val="0"/>
                <w:sz w:val="24"/>
                <w:szCs w:val="24"/>
              </w:rPr>
              <w:t xml:space="preserve">№ 184-ФЗ «О техническом регулировании» Подрядчик принимает на себя добровольное обязательство о</w:t>
            </w:r>
            <w:r>
              <w:rPr>
                <w:i w:val="0"/>
                <w:iCs w:val="0"/>
                <w:sz w:val="24"/>
                <w:szCs w:val="24"/>
              </w:rPr>
              <w:t xml:space="preserve"> соблюдении требований правил, технических условий, ГОСТ, ПУЭ и других нормативных технических документов, действующих на момент заключения договора и добровольное обязательство о выполнении работ с качеством, соответствующим вышеперечисленным документам. </w:t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both"/>
              <w:spacing w:after="0" w:afterAutospacing="0" w:line="240" w:lineRule="auto"/>
              <w:rPr>
                <w:bCs w:val="0"/>
                <w:i w:val="0"/>
                <w:sz w:val="10"/>
                <w:szCs w:val="10"/>
              </w:rPr>
            </w:pPr>
            <w:r>
              <w:rPr>
                <w:i w:val="0"/>
                <w:iCs w:val="0"/>
                <w:sz w:val="10"/>
                <w:szCs w:val="10"/>
                <w:highlight w:val="none"/>
              </w:rPr>
            </w:r>
            <w:r>
              <w:rPr>
                <w:bCs w:val="0"/>
                <w:i w:val="0"/>
                <w:sz w:val="10"/>
                <w:szCs w:val="10"/>
              </w:rPr>
            </w:r>
            <w:r>
              <w:rPr>
                <w:bCs w:val="0"/>
                <w:i w:val="0"/>
                <w:sz w:val="10"/>
                <w:szCs w:val="10"/>
              </w:rPr>
            </w:r>
          </w:p>
          <w:p>
            <w:pPr>
              <w:ind w:left="0" w:right="0" w:firstLine="0"/>
              <w:jc w:val="both"/>
              <w:spacing w:after="0" w:afterAutospacing="0" w:line="240" w:lineRule="auto"/>
              <w:rPr>
                <w:bCs w:val="0"/>
                <w:i w:val="0"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Руководители работ Подрядчика, участвующие в выполнении</w:t>
            </w:r>
            <w:r>
              <w:rPr>
                <w:i w:val="0"/>
                <w:iCs w:val="0"/>
                <w:sz w:val="24"/>
                <w:szCs w:val="24"/>
              </w:rPr>
              <w:t xml:space="preserve"> работ совместно с п</w:t>
            </w:r>
            <w:r>
              <w:rPr>
                <w:i w:val="0"/>
                <w:iCs w:val="0"/>
                <w:sz w:val="24"/>
                <w:szCs w:val="24"/>
              </w:rPr>
              <w:t xml:space="preserve">р</w:t>
            </w:r>
            <w:r>
              <w:rPr>
                <w:i w:val="0"/>
                <w:iCs w:val="0"/>
                <w:sz w:val="24"/>
                <w:szCs w:val="24"/>
              </w:rPr>
              <w:t xml:space="preserve">едставителями Заказчика, проводят оперативный контроль качества выполняемых ремонтных работ, проверяют соблюдение технологической дисциплины.</w:t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both"/>
              <w:spacing w:after="0" w:afterAutospacing="0" w:line="240" w:lineRule="auto"/>
              <w:rPr>
                <w:bCs/>
                <w:i/>
                <w:sz w:val="10"/>
                <w:szCs w:val="10"/>
                <w:highlight w:val="yellow"/>
              </w:rPr>
            </w:pPr>
            <w:r>
              <w:rPr>
                <w:i w:val="0"/>
                <w:iCs w:val="0"/>
                <w:sz w:val="10"/>
                <w:szCs w:val="10"/>
                <w:highlight w:val="none"/>
              </w:rPr>
            </w:r>
            <w:r>
              <w:rPr>
                <w:bCs/>
                <w:i/>
                <w:sz w:val="10"/>
                <w:szCs w:val="10"/>
                <w:highlight w:val="yellow"/>
              </w:rPr>
            </w:r>
            <w:r>
              <w:rPr>
                <w:bCs/>
                <w:i/>
                <w:sz w:val="10"/>
                <w:szCs w:val="10"/>
                <w:highlight w:val="yellow"/>
              </w:rPr>
            </w:r>
          </w:p>
          <w:p>
            <w:pPr>
              <w:ind w:left="0" w:right="0" w:firstLine="0"/>
              <w:jc w:val="both"/>
              <w:spacing w:after="0" w:afterAutospacing="0" w:line="240" w:lineRule="auto"/>
              <w:rPr>
                <w:bCs w:val="0"/>
                <w:i w:val="0"/>
                <w:sz w:val="24"/>
                <w:szCs w:val="24"/>
                <w:highlight w:val="white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Требования к контролю качества работ подробно указаны в проекте договора (в том числе в разделе № 2) </w:t>
            </w: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(Приложение №2 к Документации о закупке)</w:t>
            </w: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.</w:t>
            </w:r>
            <w:r>
              <w:rPr>
                <w:bCs w:val="0"/>
                <w:i w:val="0"/>
                <w:sz w:val="24"/>
                <w:szCs w:val="24"/>
                <w:highlight w:val="white"/>
              </w:rPr>
            </w:r>
            <w:r>
              <w:rPr>
                <w:bCs w:val="0"/>
                <w:i w:val="0"/>
                <w:sz w:val="24"/>
                <w:szCs w:val="24"/>
                <w:highlight w:val="white"/>
              </w:rPr>
            </w:r>
          </w:p>
          <w:p>
            <w:pPr>
              <w:ind w:left="0" w:right="0" w:firstLine="0"/>
              <w:jc w:val="left"/>
              <w:spacing w:after="0" w:afterAutospacing="0" w:line="240" w:lineRule="auto"/>
              <w:rPr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i w:val="0"/>
                <w:iCs w:val="0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2444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49"/>
        </w:trPr>
        <w:tc>
          <w:tcPr>
            <w:tcW w:w="994" w:type="dxa"/>
            <w:vAlign w:val="center"/>
            <w:textDirection w:val="lrTb"/>
            <w:noWrap w:val="false"/>
          </w:tcPr>
          <w:p>
            <w:pPr>
              <w:contextualSpacing/>
              <w:ind w:left="142" w:right="0" w:firstLine="0"/>
              <w:spacing w:before="60" w:after="60" w:line="276" w:lineRule="auto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1.4.</w:t>
            </w:r>
            <w:r>
              <w:rPr>
                <w:rFonts w:eastAsia="Calibri"/>
                <w:b/>
                <w:sz w:val="22"/>
                <w:szCs w:val="22"/>
              </w:rPr>
            </w:r>
            <w:r>
              <w:rPr>
                <w:rFonts w:eastAsia="Calibri"/>
                <w:b/>
                <w:sz w:val="22"/>
                <w:szCs w:val="22"/>
              </w:rPr>
            </w:r>
          </w:p>
        </w:tc>
        <w:tc>
          <w:tcPr>
            <w:gridSpan w:val="4"/>
            <w:tcW w:w="928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персоналу Подрядчика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2444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</w:tc>
        <w:tc>
          <w:tcPr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94" w:type="dxa"/>
            <w:vAlign w:val="center"/>
            <w:textDirection w:val="lrTb"/>
            <w:noWrap w:val="false"/>
          </w:tcPr>
          <w:p>
            <w:pPr>
              <w:contextualSpacing/>
              <w:ind w:left="142" w:right="0" w:firstLine="0"/>
              <w:spacing w:before="60" w:after="60" w:line="276" w:lineRule="auto"/>
              <w:rPr>
                <w:rFonts w:eastAsia="Calibri"/>
                <w:sz w:val="22"/>
                <w:szCs w:val="22"/>
                <w:highlight w:val="green"/>
              </w:rPr>
            </w:pPr>
            <w:r>
              <w:rPr>
                <w:rFonts w:eastAsia="Calibri"/>
                <w:sz w:val="22"/>
                <w:szCs w:val="22"/>
              </w:rPr>
              <w:t xml:space="preserve">1.4.1</w:t>
            </w:r>
            <w:r>
              <w:rPr>
                <w:rFonts w:eastAsia="Calibri"/>
                <w:sz w:val="22"/>
                <w:szCs w:val="22"/>
                <w:highlight w:val="green"/>
              </w:rPr>
            </w:r>
            <w:r>
              <w:rPr>
                <w:rFonts w:eastAsia="Calibri"/>
                <w:sz w:val="22"/>
                <w:szCs w:val="22"/>
                <w:highlight w:val="green"/>
              </w:rPr>
            </w:r>
          </w:p>
        </w:tc>
        <w:tc>
          <w:tcPr>
            <w:tcW w:w="2531" w:type="dxa"/>
            <w:textDirection w:val="lrTb"/>
            <w:noWrap w:val="false"/>
          </w:tcPr>
          <w:p>
            <w:pPr>
              <w:ind w:firstLine="0"/>
              <w:spacing w:before="60" w:line="240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 xml:space="preserve">Квалификация персонала подрядчика, привлекаемого к выполнению работ</w:t>
            </w: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</w:p>
        </w:tc>
        <w:tc>
          <w:tcPr>
            <w:gridSpan w:val="3"/>
            <w:tcW w:w="6759" w:type="dxa"/>
            <w:textDirection w:val="lrTb"/>
            <w:noWrap w:val="false"/>
          </w:tcPr>
          <w:p>
            <w:pPr>
              <w:ind w:left="0" w:right="0" w:firstLine="0"/>
              <w:jc w:val="both"/>
              <w:spacing w:before="0" w:beforeAutospacing="0" w:after="0" w:afterAutospacing="0" w:line="240" w:lineRule="auto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Подрядчик</w:t>
            </w: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 должен:</w:t>
            </w:r>
            <w:r>
              <w:rPr>
                <w:bCs/>
                <w:i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  <w:p>
            <w:pPr>
              <w:pStyle w:val="982"/>
              <w:numPr>
                <w:ilvl w:val="0"/>
                <w:numId w:val="50"/>
              </w:numPr>
              <w:ind w:left="0" w:right="0" w:firstLine="283"/>
              <w:jc w:val="both"/>
              <w:spacing w:before="60" w:line="240" w:lineRule="auto"/>
              <w:widowControl w:val="off"/>
              <w:tabs>
                <w:tab w:val="left" w:pos="567" w:leader="none"/>
              </w:tabs>
              <w:rPr>
                <w:highlight w:val="none"/>
              </w:rPr>
            </w:pPr>
            <w:r>
              <w:rPr>
                <w:bCs/>
                <w:i w:val="0"/>
                <w:iCs w:val="0"/>
                <w:sz w:val="24"/>
                <w:szCs w:val="24"/>
              </w:rPr>
              <w:t xml:space="preserve">обладать гражданской правоспособностью в полном объёме для заключения и исполнения договора подряда (должен быть зарегистрирован в установленном порядке и иметь соответствующие разрешения на выполнение видов работ в рамках договора подряда).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82"/>
              <w:numPr>
                <w:ilvl w:val="0"/>
                <w:numId w:val="50"/>
              </w:numPr>
              <w:ind w:left="0" w:right="0" w:firstLine="283"/>
              <w:jc w:val="both"/>
              <w:spacing w:before="60" w:line="240" w:lineRule="auto"/>
              <w:widowControl w:val="off"/>
              <w:tabs>
                <w:tab w:val="left" w:pos="567" w:leader="none"/>
              </w:tabs>
              <w:rPr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none"/>
              </w:rPr>
              <w:t xml:space="preserve">располагать </w:t>
            </w:r>
            <w:r>
              <w:rPr>
                <w:bCs/>
                <w:i w:val="0"/>
                <w:iCs w:val="0"/>
                <w:sz w:val="24"/>
                <w:szCs w:val="24"/>
              </w:rPr>
              <w:t xml:space="preserve">квалифицированной командой ИТР, способной до начала работ на объекте ознакомить производственные бригады с общим объёмом работ, сроком выполнения работ и графиком, правилами внутреннего распорядка, задачами, стоящими перед каждой бригадой,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non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достаточным количеством аттестованного персонала, организованного по принципу комплексных специализированных бригад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 (оформленных в соответствии с Гражданским Кодексом Российской Федерации или привлекаемых по трудовым либо гражданско-правовым договорам, либо планируемых к привлечению, в том числе по договорам субподряда)</w:t>
            </w:r>
            <w:r>
              <w:rPr>
                <w:bCs w:val="0"/>
                <w:i w:val="0"/>
                <w:sz w:val="24"/>
                <w:szCs w:val="24"/>
              </w:rPr>
            </w:r>
            <w:r>
              <w:rPr>
                <w:bCs w:val="0"/>
                <w:i w:val="0"/>
                <w:sz w:val="24"/>
                <w:szCs w:val="24"/>
              </w:rPr>
            </w:r>
          </w:p>
          <w:p>
            <w:pPr>
              <w:pStyle w:val="982"/>
              <w:numPr>
                <w:ilvl w:val="0"/>
                <w:numId w:val="50"/>
              </w:numPr>
              <w:ind w:left="0" w:right="0" w:firstLine="283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иметь минимально необходимое для выполнения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работ количество квалифицированного персонала (оформленного в соответствии с Гражда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нским Кодексом Российской Федерации или привлекаемого по трудовым либо гражданско-правовым договорам, либо планируемого к привлечению, в том числе по договорам субподряда)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10"/>
                <w:szCs w:val="10"/>
                <w:highlight w:val="none"/>
              </w:rPr>
            </w:r>
            <w:r>
              <w:rPr>
                <w:rFonts w:ascii="Times New Roman" w:hAnsi="Times New Roman" w:cs="Times New Roman"/>
                <w:sz w:val="10"/>
                <w:szCs w:val="10"/>
              </w:rPr>
            </w:r>
            <w:r>
              <w:rPr>
                <w:rFonts w:ascii="Times New Roman" w:hAnsi="Times New Roman" w:cs="Times New Roman"/>
                <w:sz w:val="10"/>
                <w:szCs w:val="10"/>
              </w:rPr>
            </w:r>
          </w:p>
          <w:p>
            <w:pPr>
              <w:ind w:left="0" w:right="0" w:firstLine="0"/>
              <w:jc w:val="both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i/>
                <w:highlight w:val="none"/>
              </w:rPr>
            </w:pPr>
            <w:r>
              <w:rPr>
                <w:bCs/>
                <w:i w:val="0"/>
                <w:iCs w:val="0"/>
                <w:sz w:val="24"/>
                <w:szCs w:val="24"/>
                <w:highlight w:val="none"/>
              </w:rPr>
              <w:t xml:space="preserve">До начала проведения работ в рамках исполнения договора после его заключения подрядчик предоставляет:</w:t>
            </w: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</w:p>
          <w:p>
            <w:pPr>
              <w:pStyle w:val="982"/>
              <w:numPr>
                <w:ilvl w:val="0"/>
                <w:numId w:val="51"/>
              </w:numPr>
              <w:ind w:left="0" w:right="0" w:firstLine="283"/>
              <w:jc w:val="both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  <w:tab w:val="left" w:pos="3685" w:leader="none"/>
              </w:tabs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bCs/>
                <w:i w:val="0"/>
                <w:iCs w:val="0"/>
                <w:sz w:val="24"/>
                <w:szCs w:val="24"/>
                <w:highlight w:val="none"/>
              </w:rPr>
              <w:t xml:space="preserve">список перс</w:t>
            </w:r>
            <w:r>
              <w:rPr>
                <w:bCs/>
                <w:i w:val="0"/>
                <w:iCs w:val="0"/>
                <w:sz w:val="24"/>
                <w:szCs w:val="24"/>
                <w:highlight w:val="none"/>
              </w:rPr>
              <w:t xml:space="preserve">онала с указа</w:t>
            </w:r>
            <w:r>
              <w:rPr>
                <w:bCs/>
                <w:i w:val="0"/>
                <w:iCs w:val="0"/>
                <w:sz w:val="24"/>
                <w:szCs w:val="24"/>
                <w:highlight w:val="none"/>
              </w:rPr>
              <w:t xml:space="preserve">н</w:t>
            </w:r>
            <w:r>
              <w:rPr>
                <w:bCs/>
                <w:i w:val="0"/>
                <w:iCs w:val="0"/>
                <w:sz w:val="24"/>
                <w:szCs w:val="24"/>
                <w:highlight w:val="none"/>
              </w:rPr>
              <w:t xml:space="preserve">ием сведени</w:t>
            </w:r>
            <w:r>
              <w:rPr>
                <w:bCs/>
                <w:i w:val="0"/>
                <w:iCs w:val="0"/>
                <w:sz w:val="24"/>
                <w:szCs w:val="24"/>
                <w:highlight w:val="none"/>
              </w:rPr>
              <w:t xml:space="preserve">й о квалификации персонала, разряде и группе по эле</w:t>
            </w:r>
            <w:r>
              <w:rPr>
                <w:bCs/>
                <w:i w:val="0"/>
                <w:iCs w:val="0"/>
                <w:sz w:val="24"/>
                <w:szCs w:val="24"/>
                <w:highlight w:val="none"/>
              </w:rPr>
              <w:t xml:space="preserve">ктробезопасности с приложением копий удостоверений на производство специальных видов работ (огневых, сварочных, грузоподъемных, работ с электро - и пневмоинструментом) (возможно совмещение специальностей);</w:t>
            </w:r>
            <w:r>
              <w:rPr>
                <w:bCs/>
                <w:i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  <w:p>
            <w:pPr>
              <w:ind w:left="0" w:right="0" w:firstLine="0"/>
              <w:jc w:val="both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  <w:tab w:val="left" w:pos="3685" w:leader="none"/>
              </w:tabs>
              <w:rPr>
                <w:bCs/>
                <w:i/>
                <w:sz w:val="10"/>
                <w:szCs w:val="10"/>
                <w:highlight w:val="none"/>
              </w:rPr>
            </w:pPr>
            <w:r>
              <w:rPr>
                <w:bCs/>
                <w:i w:val="0"/>
                <w:iCs w:val="0"/>
                <w:sz w:val="10"/>
                <w:szCs w:val="10"/>
                <w:highlight w:val="none"/>
              </w:rPr>
            </w:r>
            <w:r>
              <w:rPr>
                <w:bCs/>
                <w:i/>
                <w:sz w:val="10"/>
                <w:szCs w:val="10"/>
                <w:highlight w:val="none"/>
              </w:rPr>
            </w:r>
            <w:r>
              <w:rPr>
                <w:bCs/>
                <w:i/>
                <w:sz w:val="10"/>
                <w:szCs w:val="10"/>
                <w:highlight w:val="none"/>
              </w:rPr>
            </w:r>
          </w:p>
          <w:p>
            <w:pPr>
              <w:ind w:left="0" w:right="0" w:firstLine="0"/>
              <w:jc w:val="both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  <w:tab w:val="left" w:pos="3685" w:leader="none"/>
              </w:tabs>
              <w:rPr>
                <w:i w:val="0"/>
                <w:sz w:val="24"/>
                <w:szCs w:val="24"/>
                <w:highlight w:val="none"/>
              </w:rPr>
            </w:pPr>
            <w:r>
              <w:rPr>
                <w:bCs/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</w:rPr>
              <w:t xml:space="preserve">Во время выполнения работ команда ИТР Подрядчика должна поддерживать на должном уро</w:t>
            </w:r>
            <w:r>
              <w:rPr>
                <w:i w:val="0"/>
                <w:iCs w:val="0"/>
                <w:sz w:val="24"/>
                <w:szCs w:val="24"/>
              </w:rPr>
              <w:t xml:space="preserve">вне систему управ</w:t>
            </w:r>
            <w:r>
              <w:rPr>
                <w:i w:val="0"/>
                <w:iCs w:val="0"/>
                <w:sz w:val="24"/>
                <w:szCs w:val="24"/>
              </w:rPr>
              <w:t xml:space="preserve">ления раб</w:t>
            </w:r>
            <w:r>
              <w:rPr>
                <w:i w:val="0"/>
                <w:iCs w:val="0"/>
                <w:sz w:val="24"/>
                <w:szCs w:val="24"/>
              </w:rPr>
              <w:t xml:space="preserve">отами/работами (инструментальное и материально-техническое обеспечение, уборка рабочих мест и конструкций оборудования, транспортировка мусора и отходов, оплаты и стимулирования труда, мероприятия по безопасности труда, противопожарных мероприятий и т.д.).</w:t>
            </w:r>
            <w:r>
              <w:rPr>
                <w:i w:val="0"/>
                <w:sz w:val="24"/>
                <w:szCs w:val="24"/>
                <w:highlight w:val="none"/>
              </w:rPr>
            </w:r>
            <w:r>
              <w:rPr>
                <w:i w:val="0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both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  <w:tab w:val="left" w:pos="3685" w:leader="none"/>
              </w:tabs>
              <w:rPr>
                <w:bCs w:val="0"/>
                <w:i w:val="0"/>
                <w:sz w:val="24"/>
                <w:szCs w:val="24"/>
                <w:highlight w:val="white"/>
              </w:rPr>
            </w:pPr>
            <w:r>
              <w:rPr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bCs w:val="0"/>
                <w:i w:val="0"/>
                <w:sz w:val="24"/>
                <w:szCs w:val="24"/>
                <w:highlight w:val="white"/>
              </w:rPr>
            </w:r>
            <w:r>
              <w:rPr>
                <w:bCs w:val="0"/>
                <w:i w:val="0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2444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94" w:type="dxa"/>
            <w:vAlign w:val="center"/>
            <w:textDirection w:val="lrTb"/>
            <w:noWrap w:val="false"/>
          </w:tcPr>
          <w:p>
            <w:pPr>
              <w:contextualSpacing/>
              <w:ind w:left="142" w:right="0" w:firstLine="0"/>
              <w:spacing w:before="60" w:after="6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1.4.2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2531" w:type="dxa"/>
            <w:textDirection w:val="lrTb"/>
            <w:noWrap w:val="false"/>
          </w:tcPr>
          <w:p>
            <w:pPr>
              <w:ind w:firstLine="0"/>
              <w:spacing w:before="60" w:line="240" w:lineRule="auto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Специальные требования к персоналу Подрядчика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gridSpan w:val="3"/>
            <w:tcW w:w="6759" w:type="dxa"/>
            <w:textDirection w:val="lrTb"/>
            <w:noWrap w:val="false"/>
          </w:tcPr>
          <w:p>
            <w:pPr>
              <w:ind w:left="0" w:right="0" w:firstLine="0"/>
              <w:jc w:val="both"/>
              <w:spacing w:before="60" w:line="240" w:lineRule="auto"/>
              <w:widowControl w:val="off"/>
              <w:tabs>
                <w:tab w:val="left" w:pos="426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Подрядчик должен иметь в штате аттестованных специалистов сварочного производства (</w:t>
            </w:r>
            <w:r>
              <w:rPr>
                <w:bCs/>
                <w:sz w:val="24"/>
                <w:szCs w:val="24"/>
                <w:lang w:val="en-US"/>
              </w:rPr>
              <w:t xml:space="preserve">I</w:t>
            </w:r>
            <w:r>
              <w:rPr>
                <w:bCs/>
                <w:sz w:val="24"/>
                <w:szCs w:val="24"/>
              </w:rPr>
              <w:t xml:space="preserve"> – </w:t>
            </w:r>
            <w:r>
              <w:rPr>
                <w:bCs/>
                <w:sz w:val="24"/>
                <w:szCs w:val="24"/>
                <w:lang w:val="en-US"/>
              </w:rPr>
              <w:t xml:space="preserve">III</w:t>
            </w:r>
            <w:r>
              <w:rPr>
                <w:bCs/>
                <w:sz w:val="24"/>
                <w:szCs w:val="24"/>
              </w:rPr>
              <w:t xml:space="preserve"> уровня) в соответствии с требованиями </w:t>
            </w:r>
            <w:r>
              <w:rPr>
                <w:rFonts w:eastAsia="Tahoma" w:cs="Droid Sans Devanagari"/>
                <w:bCs/>
                <w:sz w:val="24"/>
                <w:szCs w:val="24"/>
              </w:rPr>
              <w:t xml:space="preserve">Приказа от 11.12.2020 № 519 Ростехнадзора «Об утверждении федеральных норм и правил в области промышленной безопасности «Требования к производству сварочных работ на опасных производственных объектах</w:t>
            </w:r>
            <w:r>
              <w:rPr>
                <w:sz w:val="24"/>
                <w:szCs w:val="24"/>
              </w:rPr>
              <w:t xml:space="preserve">»»: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982"/>
              <w:numPr>
                <w:ilvl w:val="0"/>
                <w:numId w:val="52"/>
              </w:numPr>
              <w:ind w:left="0" w:right="0" w:firstLine="283"/>
              <w:jc w:val="both"/>
              <w:spacing w:before="60" w:after="60" w:line="240" w:lineRule="auto"/>
              <w:widowControl w:val="off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3 (трех) сварщиков (не ниже 5 разряда), (группа опасных объектов: котельное оборудование КО-2; </w:t>
            </w:r>
            <w:r>
              <w:rPr>
                <w:rFonts w:eastAsia="Tahoma" w:cs="Droid Sans Devanagari"/>
                <w:bCs/>
                <w:sz w:val="24"/>
                <w:szCs w:val="24"/>
              </w:rPr>
              <w:t xml:space="preserve">строительные конструкции </w:t>
            </w:r>
            <w:r>
              <w:rPr>
                <w:sz w:val="24"/>
                <w:szCs w:val="24"/>
              </w:rPr>
              <w:t xml:space="preserve">СК-1, СК-2, СК-3) (с предоставлением до начала работ копий </w:t>
            </w:r>
            <w:r>
              <w:rPr>
                <w:sz w:val="24"/>
                <w:szCs w:val="24"/>
              </w:rPr>
              <w:t xml:space="preserve">аттестационных удостоверений специалистов сварочного производства 1 уровня);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982"/>
              <w:numPr>
                <w:ilvl w:val="0"/>
                <w:numId w:val="52"/>
              </w:numPr>
              <w:ind w:left="0" w:right="0" w:firstLine="283"/>
              <w:jc w:val="both"/>
              <w:spacing w:before="60" w:after="60" w:line="240" w:lineRule="auto"/>
              <w:widowControl w:val="off"/>
              <w:tabs>
                <w:tab w:val="left" w:pos="567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не менее 1 (одного) инженерно-технического работника (технолог-сварщик), (группа опасных объектов: котельное оборудование КО-2; </w:t>
            </w:r>
            <w:r>
              <w:rPr>
                <w:rFonts w:eastAsia="Tahoma" w:cs="Droid Sans Devanagari"/>
                <w:bCs/>
                <w:sz w:val="24"/>
                <w:szCs w:val="24"/>
              </w:rPr>
              <w:t xml:space="preserve">строительные конструкции </w:t>
            </w:r>
            <w:r>
              <w:rPr>
                <w:sz w:val="24"/>
                <w:szCs w:val="24"/>
              </w:rPr>
              <w:t xml:space="preserve">СК-1, СК-2, СК-3) (с предоставлением копии аттестационного удостоверения специалиста сварочного производства 3 уровня).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before="60" w:line="240" w:lineRule="auto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gridSpan w:val="2"/>
            <w:tcW w:w="2444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  <w:tc>
          <w:tcPr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94" w:type="dxa"/>
            <w:vAlign w:val="center"/>
            <w:textDirection w:val="lrTb"/>
            <w:noWrap w:val="false"/>
          </w:tcPr>
          <w:p>
            <w:pPr>
              <w:contextualSpacing/>
              <w:ind w:left="142" w:right="0" w:firstLine="0"/>
              <w:jc w:val="left"/>
              <w:spacing w:before="60" w:after="60" w:line="276" w:lineRule="auto"/>
              <w:tabs>
                <w:tab w:val="left" w:pos="140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b/>
                <w:szCs w:val="24"/>
              </w:rPr>
              <w:t xml:space="preserve">1.5.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gridSpan w:val="4"/>
            <w:tcW w:w="9289" w:type="dxa"/>
            <w:textDirection w:val="lrTb"/>
            <w:noWrap w:val="false"/>
          </w:tcPr>
          <w:p>
            <w:pPr>
              <w:ind w:firstLine="0"/>
              <w:spacing w:before="60" w:line="276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Требования к безопасности работ и охране труда</w:t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  <w:tc>
          <w:tcPr>
            <w:gridSpan w:val="2"/>
            <w:tcW w:w="2444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94" w:type="dxa"/>
            <w:vAlign w:val="center"/>
            <w:textDirection w:val="lrTb"/>
            <w:noWrap w:val="false"/>
          </w:tcPr>
          <w:p>
            <w:pPr>
              <w:ind w:left="142" w:right="0" w:firstLine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1.5.1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2531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color w:val="000000" w:themeColor="text1"/>
                <w:sz w:val="24"/>
                <w:szCs w:val="24"/>
              </w:rPr>
              <w:t xml:space="preserve">Требования к безопасности выполняемых работ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gridSpan w:val="3"/>
            <w:tcW w:w="6759" w:type="dxa"/>
            <w:textDirection w:val="lrTb"/>
            <w:noWrap w:val="false"/>
          </w:tcPr>
          <w:p>
            <w:pPr>
              <w:contextualSpacing/>
              <w:ind w:left="0" w:right="0" w:firstLine="0"/>
              <w:jc w:val="both"/>
              <w:spacing w:line="240" w:lineRule="auto"/>
              <w:tabs>
                <w:tab w:val="left" w:pos="447" w:leader="none"/>
              </w:tabs>
              <w:rPr>
                <w:rFonts w:eastAsia="Calibri"/>
                <w:i w:val="0"/>
                <w:iCs w:val="0"/>
                <w:sz w:val="24"/>
                <w:szCs w:val="24"/>
                <w:highlight w:val="none"/>
              </w:rPr>
            </w:pP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Подрядчик обязан направлять на объ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екты заказчика работников, обученных правилам безопасного ведения работ и имеющих все необходимые допуски к производству работ, а также представлять документы на русском языке, подтверждающие аттестацию работников на проведение соответствующих видов работ.</w:t>
            </w:r>
            <w:r>
              <w:rPr>
                <w:rFonts w:eastAsia="Calibri"/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rFonts w:eastAsia="Calibri"/>
                <w:i w:val="0"/>
                <w:iCs w:val="0"/>
                <w:sz w:val="24"/>
                <w:szCs w:val="24"/>
                <w:highlight w:val="none"/>
              </w:rPr>
            </w:r>
          </w:p>
          <w:p>
            <w:pPr>
              <w:contextualSpacing/>
              <w:ind w:left="0" w:right="0" w:firstLine="0"/>
              <w:jc w:val="both"/>
              <w:spacing w:line="240" w:lineRule="auto"/>
              <w:tabs>
                <w:tab w:val="left" w:pos="447" w:leader="none"/>
              </w:tabs>
              <w:rPr>
                <w:rFonts w:eastAsia="Calibri"/>
                <w:bCs w:val="0"/>
                <w:i w:val="0"/>
                <w:sz w:val="10"/>
                <w:szCs w:val="10"/>
              </w:rPr>
            </w:pPr>
            <w:r>
              <w:rPr>
                <w:rFonts w:eastAsia="Calibri"/>
                <w:i w:val="0"/>
                <w:iCs w:val="0"/>
                <w:sz w:val="10"/>
                <w:szCs w:val="10"/>
                <w:highlight w:val="none"/>
              </w:rPr>
            </w:r>
            <w:r>
              <w:rPr>
                <w:rFonts w:eastAsia="Calibri"/>
                <w:bCs w:val="0"/>
                <w:i w:val="0"/>
                <w:sz w:val="10"/>
                <w:szCs w:val="10"/>
              </w:rPr>
            </w:r>
            <w:r>
              <w:rPr>
                <w:rFonts w:eastAsia="Calibri"/>
                <w:bCs w:val="0"/>
                <w:i w:val="0"/>
                <w:sz w:val="10"/>
                <w:szCs w:val="10"/>
              </w:rPr>
            </w:r>
          </w:p>
          <w:p>
            <w:pPr>
              <w:ind w:left="0" w:right="0" w:firstLine="0"/>
              <w:jc w:val="both"/>
              <w:spacing w:line="240" w:lineRule="auto"/>
              <w:rPr>
                <w:rFonts w:eastAsia="Calibri"/>
                <w:i w:val="0"/>
                <w:iCs w:val="0"/>
                <w:sz w:val="24"/>
                <w:szCs w:val="24"/>
              </w:rPr>
            </w:pP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Подрядчик должен соблюдать требования действующего федерального законодательства Российской Федерации, нормативных правовых актов субъектов Российской Федерации</w:t>
            </w:r>
            <w:r>
              <w:rPr>
                <w:bCs/>
                <w:i w:val="0"/>
                <w:iCs w:val="0"/>
                <w:sz w:val="24"/>
                <w:szCs w:val="24"/>
              </w:rPr>
              <w:t xml:space="preserve">: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</w:p>
          <w:p>
            <w:pPr>
              <w:pStyle w:val="982"/>
              <w:numPr>
                <w:ilvl w:val="0"/>
                <w:numId w:val="53"/>
              </w:numPr>
              <w:contextualSpacing/>
              <w:ind w:left="0" w:right="0" w:firstLine="283"/>
              <w:jc w:val="both"/>
              <w:spacing w:before="60" w:line="240" w:lineRule="auto"/>
              <w:widowControl w:val="off"/>
              <w:tabs>
                <w:tab w:val="left" w:pos="567" w:leader="none"/>
              </w:tabs>
              <w:rPr>
                <w:bCs/>
                <w:i w:val="0"/>
                <w:iCs w:val="0"/>
                <w:sz w:val="24"/>
                <w:szCs w:val="24"/>
              </w:rPr>
            </w:pPr>
            <w:r>
              <w:rPr>
                <w:bCs/>
                <w:i w:val="0"/>
                <w:iCs w:val="0"/>
                <w:sz w:val="24"/>
                <w:szCs w:val="24"/>
              </w:rPr>
              <w:t xml:space="preserve">СНиП 12-03-2001 «Безопасность труда в строительстве. Часть 1. Общие требования» (приняты и введены в действие Пост. Госстроя РФ от 23.07.2001 г. № 80);</w:t>
            </w:r>
            <w:r>
              <w:rPr>
                <w:bCs/>
                <w:i w:val="0"/>
                <w:iCs w:val="0"/>
                <w:sz w:val="24"/>
                <w:szCs w:val="24"/>
              </w:rPr>
            </w:r>
            <w:r>
              <w:rPr>
                <w:bCs/>
                <w:i w:val="0"/>
                <w:iCs w:val="0"/>
                <w:sz w:val="24"/>
                <w:szCs w:val="24"/>
              </w:rPr>
            </w:r>
          </w:p>
          <w:p>
            <w:pPr>
              <w:pStyle w:val="982"/>
              <w:numPr>
                <w:ilvl w:val="0"/>
                <w:numId w:val="53"/>
              </w:numPr>
              <w:contextualSpacing/>
              <w:ind w:left="0" w:right="0" w:firstLine="283"/>
              <w:jc w:val="both"/>
              <w:spacing w:before="60" w:line="240" w:lineRule="auto"/>
              <w:widowControl w:val="off"/>
              <w:tabs>
                <w:tab w:val="left" w:pos="567" w:leader="none"/>
              </w:tabs>
              <w:rPr>
                <w:i w:val="0"/>
                <w:iCs w:val="0"/>
                <w:sz w:val="24"/>
                <w:szCs w:val="24"/>
                <w:highlight w:val="none"/>
              </w:rPr>
            </w:pPr>
            <w:r>
              <w:rPr>
                <w:bCs/>
                <w:i w:val="0"/>
                <w:iCs w:val="0"/>
                <w:sz w:val="24"/>
                <w:szCs w:val="24"/>
              </w:rPr>
              <w:t xml:space="preserve">СНиП 12-04-2002 «Безопасность труда в строительстве. Часть 2. Строительное производство» (приняты и введены в действие Пост. Госстроя РФ от 17.09.2002 г. № 123);</w:t>
            </w:r>
            <w:r>
              <w:rPr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</w:rPr>
            </w:r>
          </w:p>
          <w:p>
            <w:pPr>
              <w:pStyle w:val="982"/>
              <w:numPr>
                <w:ilvl w:val="0"/>
                <w:numId w:val="53"/>
              </w:numPr>
              <w:ind w:left="0" w:right="0" w:firstLine="283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bCs/>
                <w:i/>
              </w:rPr>
            </w:pPr>
            <w:r>
              <w:rPr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rFonts w:eastAsia="Courier New"/>
                <w:i w:val="0"/>
                <w:iCs w:val="0"/>
                <w:color w:val="000000"/>
                <w:sz w:val="24"/>
                <w:szCs w:val="24"/>
                <w:lang w:bidi="ru-RU"/>
              </w:rPr>
              <w:t xml:space="preserve">Правила промышленной безопасности при использовании оборудования, работающего под избыточным давлением, утвержденные приказом Федеральной службы по экологическому, технологическому и атомному надзору от 15.12.2020 г. № 536;</w:t>
            </w:r>
            <w:r>
              <w:rPr>
                <w:bCs/>
                <w:i/>
              </w:rPr>
            </w:r>
            <w:r>
              <w:rPr>
                <w:bCs/>
                <w:i/>
              </w:rPr>
            </w:r>
          </w:p>
          <w:p>
            <w:pPr>
              <w:pStyle w:val="982"/>
              <w:numPr>
                <w:ilvl w:val="0"/>
                <w:numId w:val="53"/>
              </w:numPr>
              <w:ind w:left="0" w:right="0" w:firstLine="283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bCs/>
                <w:i/>
              </w:rPr>
            </w:pPr>
            <w:r>
              <w:rPr>
                <w:rFonts w:eastAsia="Courier New"/>
                <w:i w:val="0"/>
                <w:iCs w:val="0"/>
                <w:color w:val="000000"/>
                <w:sz w:val="24"/>
                <w:szCs w:val="24"/>
                <w:highlight w:val="none"/>
                <w:lang w:bidi="ru-RU"/>
              </w:rPr>
            </w:r>
            <w:r>
              <w:rPr>
                <w:rFonts w:eastAsia="Courier New"/>
                <w:i w:val="0"/>
                <w:iCs w:val="0"/>
                <w:color w:val="000000"/>
                <w:sz w:val="24"/>
                <w:szCs w:val="24"/>
                <w:lang w:bidi="ru-RU"/>
              </w:rPr>
              <w:t xml:space="preserve">Правила безопасности опасных производственных объектов, на которых используются подъемные сооружения, утвержденные приказом Федеральной службы по экологическому и атомному надзору от 26.11.2020 г. № 461;</w:t>
            </w:r>
            <w:r>
              <w:rPr>
                <w:bCs/>
                <w:i/>
              </w:rPr>
            </w:r>
            <w:r>
              <w:rPr>
                <w:bCs/>
                <w:i/>
              </w:rPr>
            </w:r>
          </w:p>
          <w:p>
            <w:pPr>
              <w:ind w:left="0" w:right="0" w:firstLine="0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bCs/>
                <w:i/>
                <w:sz w:val="10"/>
                <w:szCs w:val="10"/>
              </w:rPr>
            </w:pPr>
            <w:r>
              <w:rPr>
                <w:rFonts w:eastAsia="Courier New"/>
                <w:i w:val="0"/>
                <w:iCs w:val="0"/>
                <w:color w:val="000000"/>
                <w:sz w:val="10"/>
                <w:szCs w:val="10"/>
                <w:highlight w:val="none"/>
                <w:lang w:bidi="ru-RU"/>
              </w:rPr>
            </w:r>
            <w:r>
              <w:rPr>
                <w:bCs/>
                <w:i/>
                <w:sz w:val="10"/>
                <w:szCs w:val="10"/>
              </w:rPr>
            </w:r>
            <w:r>
              <w:rPr>
                <w:bCs/>
                <w:i/>
                <w:sz w:val="10"/>
                <w:szCs w:val="10"/>
              </w:rPr>
            </w:r>
          </w:p>
          <w:p>
            <w:pPr>
              <w:ind w:firstLine="0"/>
              <w:jc w:val="both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Cs/>
                <w:sz w:val="22"/>
                <w:szCs w:val="22"/>
                <w:highlight w:val="white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Более подробно требования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  <w:p>
            <w:pPr>
              <w:contextualSpacing/>
              <w:ind w:left="0" w:firstLine="0"/>
              <w:jc w:val="both"/>
              <w:spacing w:line="240" w:lineRule="auto"/>
              <w:tabs>
                <w:tab w:val="left" w:pos="447" w:leader="none"/>
              </w:tabs>
              <w:rPr>
                <w:rFonts w:eastAsia="Calibri"/>
                <w:i w:val="0"/>
                <w:iCs w:val="0"/>
                <w:sz w:val="24"/>
                <w:szCs w:val="24"/>
              </w:rPr>
            </w:pP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</w:p>
        </w:tc>
        <w:tc>
          <w:tcPr>
            <w:gridSpan w:val="2"/>
            <w:tcW w:w="2444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94" w:type="dxa"/>
            <w:vAlign w:val="center"/>
            <w:vMerge w:val="restart"/>
            <w:textDirection w:val="lrTb"/>
            <w:noWrap w:val="false"/>
          </w:tcPr>
          <w:p>
            <w:pPr>
              <w:ind w:left="142" w:right="0" w:firstLine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1.5.2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2531" w:type="dxa"/>
            <w:vMerge w:val="restart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/>
                <w:sz w:val="22"/>
                <w:szCs w:val="22"/>
                <w:highlight w:val="white"/>
              </w:rPr>
              <w:outlineLvl w:val="2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Соблюдение требований пожарной безопасности</w:t>
            </w:r>
            <w:bookmarkEnd w:id="0"/>
            <w:r>
              <w:rPr>
                <w:rFonts w:ascii="Times New Roman" w:hAnsi="Times New Roman" w:cs="Times New Roman"/>
                <w:bCs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yellow"/>
              </w:rPr>
            </w:r>
          </w:p>
        </w:tc>
        <w:tc>
          <w:tcPr>
            <w:gridSpan w:val="3"/>
            <w:tcW w:w="6759" w:type="dxa"/>
            <w:vMerge w:val="restart"/>
            <w:textDirection w:val="lrTb"/>
            <w:noWrap w:val="false"/>
          </w:tcPr>
          <w:p>
            <w:pPr>
              <w:ind w:firstLine="0"/>
              <w:jc w:val="both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Меры пожарной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  <w:p>
            <w:pPr>
              <w:pStyle w:val="982"/>
              <w:numPr>
                <w:ilvl w:val="0"/>
                <w:numId w:val="44"/>
              </w:numPr>
              <w:ind w:left="0" w:right="0" w:firstLine="283"/>
              <w:jc w:val="both"/>
              <w:spacing w:before="0" w:beforeAutospacing="0" w:after="0" w:afterAutospacing="0" w:line="240" w:lineRule="auto"/>
              <w:shd w:val="clear" w:color="auto" w:fill="ffff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Правила противопожарного режима в Российской Федерации, утверждены Постановлением Правительства РФ от 16.09.2020 № 1479;</w:t>
            </w:r>
            <w:r>
              <w:rPr>
                <w:rFonts w:ascii="Times New Roman" w:hAnsi="Times New Roman" w:cs="Times New Roman"/>
                <w:bCs/>
                <w:i/>
              </w:rPr>
            </w:r>
            <w:r>
              <w:rPr>
                <w:rFonts w:ascii="Times New Roman" w:hAnsi="Times New Roman" w:cs="Times New Roman"/>
                <w:bCs/>
                <w:i/>
              </w:rPr>
            </w:r>
          </w:p>
          <w:p>
            <w:pPr>
              <w:pStyle w:val="982"/>
              <w:numPr>
                <w:ilvl w:val="0"/>
                <w:numId w:val="44"/>
              </w:numPr>
              <w:ind w:left="0" w:right="0" w:firstLine="283"/>
              <w:jc w:val="both"/>
              <w:spacing w:before="0" w:beforeAutospacing="0" w:after="0" w:afterAutospacing="0" w:line="240" w:lineRule="auto"/>
              <w:shd w:val="clear" w:color="auto" w:fill="ffff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Технический регламент о требованиях пожарной безопасности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. №123-ФЗ от 22.07.2008;</w:t>
            </w:r>
            <w:r>
              <w:rPr>
                <w:rFonts w:ascii="Times New Roman" w:hAnsi="Times New Roman" w:cs="Times New Roman"/>
                <w:bCs/>
                <w:i/>
              </w:rPr>
            </w:r>
            <w:r>
              <w:rPr>
                <w:rFonts w:ascii="Times New Roman" w:hAnsi="Times New Roman" w:cs="Times New Roman"/>
                <w:bCs/>
                <w:i/>
              </w:rPr>
            </w:r>
          </w:p>
          <w:p>
            <w:pPr>
              <w:pStyle w:val="982"/>
              <w:numPr>
                <w:ilvl w:val="0"/>
                <w:numId w:val="44"/>
              </w:numPr>
              <w:ind w:left="0" w:right="0" w:firstLine="283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ГОСТ 12.1.004-91 Система стандартов безопасности труда. Пожарная безопасность. Общие требования.</w:t>
            </w:r>
            <w:r>
              <w:rPr>
                <w:rFonts w:ascii="Times New Roman" w:hAnsi="Times New Roman" w:cs="Times New Roman"/>
                <w:bCs/>
                <w:i/>
              </w:rPr>
            </w:r>
            <w:r>
              <w:rPr>
                <w:rFonts w:ascii="Times New Roman" w:hAnsi="Times New Roman" w:cs="Times New Roman"/>
                <w:bCs/>
                <w:i/>
              </w:rPr>
            </w:r>
          </w:p>
          <w:p>
            <w:pPr>
              <w:ind w:left="0" w:right="0" w:firstLine="0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  <w:i/>
                <w:sz w:val="10"/>
                <w:szCs w:val="1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10"/>
                <w:szCs w:val="10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10"/>
                <w:szCs w:val="10"/>
              </w:rPr>
            </w:r>
            <w:r>
              <w:rPr>
                <w:rFonts w:ascii="Times New Roman" w:hAnsi="Times New Roman" w:cs="Times New Roman"/>
                <w:bCs/>
                <w:i/>
                <w:sz w:val="10"/>
                <w:szCs w:val="10"/>
              </w:rPr>
            </w:r>
          </w:p>
          <w:p>
            <w:pPr>
              <w:contextualSpacing/>
              <w:ind w:left="0" w:right="0" w:firstLine="0"/>
              <w:jc w:val="both"/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Приказом по организации должно быть назначено лицо, ответственное за соблюдение требований пожарной безопасности на строительной площадке и в местах производства работ.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none"/>
              </w:rPr>
            </w:r>
          </w:p>
          <w:p>
            <w:pPr>
              <w:contextualSpacing/>
              <w:ind w:left="0" w:right="0" w:firstLine="0"/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/>
                <w:i/>
                <w:sz w:val="10"/>
                <w:szCs w:val="1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10"/>
                <w:szCs w:val="10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10"/>
                <w:szCs w:val="10"/>
              </w:rPr>
            </w:r>
            <w:r>
              <w:rPr>
                <w:rFonts w:ascii="Times New Roman" w:hAnsi="Times New Roman" w:cs="Times New Roman"/>
                <w:bCs/>
                <w:i/>
                <w:sz w:val="10"/>
                <w:szCs w:val="10"/>
              </w:rPr>
            </w:r>
          </w:p>
          <w:p>
            <w:pPr>
              <w:contextualSpacing/>
              <w:ind w:left="0" w:right="0" w:firstLine="0"/>
              <w:jc w:val="both"/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Персональную ответственность за обеспечение пожарной безопасности несёт руководитель Подрядчика или лицо, его замещающее.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none"/>
              </w:rPr>
            </w:r>
          </w:p>
          <w:p>
            <w:pPr>
              <w:contextualSpacing/>
              <w:ind w:left="0" w:right="0" w:firstLine="0"/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/>
                <w:i/>
                <w:sz w:val="10"/>
                <w:szCs w:val="1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10"/>
                <w:szCs w:val="10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10"/>
                <w:szCs w:val="10"/>
              </w:rPr>
            </w:r>
            <w:r>
              <w:rPr>
                <w:rFonts w:ascii="Times New Roman" w:hAnsi="Times New Roman" w:cs="Times New Roman"/>
                <w:bCs/>
                <w:i/>
                <w:sz w:val="10"/>
                <w:szCs w:val="10"/>
              </w:rPr>
            </w:r>
          </w:p>
          <w:p>
            <w:pPr>
              <w:contextualSpacing/>
              <w:ind w:left="0" w:right="0" w:firstLine="0"/>
              <w:jc w:val="both"/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Ремонтная площадка должна быть оснащена средствами пожаротушения. 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none"/>
              </w:rPr>
            </w:r>
          </w:p>
          <w:p>
            <w:pPr>
              <w:contextualSpacing/>
              <w:ind w:left="0" w:right="0" w:firstLine="0"/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/>
                <w:i/>
                <w:sz w:val="10"/>
                <w:szCs w:val="1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10"/>
                <w:szCs w:val="10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10"/>
                <w:szCs w:val="10"/>
              </w:rPr>
            </w:r>
            <w:r>
              <w:rPr>
                <w:rFonts w:ascii="Times New Roman" w:hAnsi="Times New Roman" w:cs="Times New Roman"/>
                <w:bCs/>
                <w:i/>
                <w:sz w:val="10"/>
                <w:szCs w:val="10"/>
              </w:rPr>
            </w:r>
          </w:p>
          <w:p>
            <w:pPr>
              <w:pStyle w:val="982"/>
              <w:ind w:left="0" w:right="0" w:firstLine="0"/>
              <w:jc w:val="both"/>
              <w:spacing w:before="0" w:beforeAutospacing="0" w:after="0" w:afterAutospacing="0" w:line="240" w:lineRule="auto"/>
              <w:tabs>
                <w:tab w:val="left" w:pos="256" w:leader="none"/>
              </w:tabs>
              <w:rPr>
                <w:rFonts w:ascii="Times New Roman" w:hAnsi="Times New Roman" w:cs="Times New Roman"/>
                <w:bCs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умент, принятый в его развитие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white"/>
              </w:rPr>
            </w:r>
          </w:p>
          <w:p>
            <w:pPr>
              <w:ind w:firstLine="0"/>
              <w:jc w:val="both"/>
              <w:spacing w:line="240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gridSpan w:val="2"/>
            <w:tcW w:w="2444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94" w:type="dxa"/>
            <w:vAlign w:val="center"/>
            <w:vMerge w:val="restart"/>
            <w:textDirection w:val="lrTb"/>
            <w:noWrap w:val="false"/>
          </w:tcPr>
          <w:p>
            <w:pPr>
              <w:ind w:left="142" w:right="0" w:firstLine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1.5.3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2531" w:type="dxa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  <w:sz w:val="22"/>
                <w:szCs w:val="22"/>
                <w:highlight w:val="white"/>
              </w:rPr>
              <w:outlineLvl w:val="2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Соблюдение требований охраны труда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white"/>
              </w:rPr>
            </w:r>
          </w:p>
          <w:p>
            <w:pPr>
              <w:ind w:left="0" w:right="0" w:firstLine="283"/>
              <w:jc w:val="left"/>
              <w:spacing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</w:r>
          </w:p>
        </w:tc>
        <w:tc>
          <w:tcPr>
            <w:gridSpan w:val="3"/>
            <w:tcW w:w="6759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Контроль по соблюдению требований охраны труда осуществляется Подрядчиком и Заказчиком. 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  <w:i/>
                <w:sz w:val="10"/>
                <w:szCs w:val="1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10"/>
                <w:szCs w:val="10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10"/>
                <w:szCs w:val="10"/>
                <w:highlight w:val="white"/>
              </w:rPr>
            </w:r>
            <w:r>
              <w:rPr>
                <w:rFonts w:ascii="Times New Roman" w:hAnsi="Times New Roman" w:cs="Times New Roman"/>
                <w:bCs/>
                <w:i/>
                <w:sz w:val="10"/>
                <w:szCs w:val="10"/>
                <w:highlight w:val="white"/>
              </w:rPr>
            </w:r>
          </w:p>
          <w:p>
            <w:pPr>
              <w:ind w:left="0" w:right="0" w:firstLine="0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Заказчик обязуется назначить куратора и обеспечить допуск персонала подрядчика к месту проведения ремонтных работ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non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 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  <w:i/>
                <w:sz w:val="10"/>
                <w:szCs w:val="1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10"/>
                <w:szCs w:val="10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10"/>
                <w:szCs w:val="10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10"/>
                <w:szCs w:val="10"/>
                <w:highlight w:val="none"/>
              </w:rPr>
            </w:r>
          </w:p>
          <w:p>
            <w:pPr>
              <w:ind w:left="0" w:right="0" w:firstLine="0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none"/>
              </w:rPr>
              <w:t xml:space="preserve">Подрядчик обязуется до начала выполнения работ разработать и предоставить на согласование ППР, указать методы и технологию выполнения работ, организационные вопросы, мероприятия по технике безопасности и охране труда.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  <w:bCs w:val="0"/>
                <w:i w:val="0"/>
                <w:sz w:val="10"/>
                <w:szCs w:val="1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10"/>
                <w:szCs w:val="10"/>
                <w:highlight w:val="none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10"/>
                <w:szCs w:val="10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10"/>
                <w:szCs w:val="10"/>
              </w:rPr>
            </w:r>
          </w:p>
          <w:p>
            <w:pPr>
              <w:ind w:left="0" w:right="0" w:firstLine="0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eastAsia="en-US"/>
              </w:rPr>
              <w:t xml:space="preserve">Применяемые при работах механизмы и грузоподъемные машины (в соответствии с разрабатываемым Подрядчиком ППР), приспособления и инструмент должны быть испытаны и эксплуатироваться в соответствии с требованиями стандартов безопасности труда, правил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eastAsia="en-US"/>
              </w:rPr>
              <w:t xml:space="preserve">Ростехнадзора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eastAsia="en-US"/>
              </w:rPr>
              <w:t xml:space="preserve">, а также инструкций заводов – изготовителей.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non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none"/>
                <w:lang w:eastAsia="en-US"/>
              </w:rPr>
            </w:r>
          </w:p>
          <w:p>
            <w:pPr>
              <w:ind w:left="0" w:right="0" w:firstLine="0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  <w:bCs w:val="0"/>
                <w:i w:val="0"/>
                <w:sz w:val="10"/>
                <w:szCs w:val="1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10"/>
                <w:szCs w:val="10"/>
                <w:highlight w:val="none"/>
                <w:lang w:eastAsia="en-US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10"/>
                <w:szCs w:val="10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10"/>
                <w:szCs w:val="10"/>
              </w:rPr>
            </w:r>
          </w:p>
          <w:p>
            <w:pPr>
              <w:ind w:left="0" w:right="0" w:firstLine="0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eastAsia="en-US"/>
              </w:rPr>
              <w:t xml:space="preserve">Организация ремонтной площадки, участков работ и рабочих мест должна обеспечивать безопасность труда работающих на всех этапах выполнения строительно-монтажных работ. Для производства работ в охранной зоне необходимо получить наряд-допуск.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non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none"/>
                <w:lang w:eastAsia="en-US"/>
              </w:rPr>
            </w:r>
          </w:p>
          <w:p>
            <w:pPr>
              <w:ind w:left="0" w:right="0" w:firstLine="0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  <w:bCs w:val="0"/>
                <w:i w:val="0"/>
                <w:sz w:val="10"/>
                <w:szCs w:val="1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10"/>
                <w:szCs w:val="10"/>
                <w:highlight w:val="none"/>
                <w:lang w:eastAsia="en-US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10"/>
                <w:szCs w:val="10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10"/>
                <w:szCs w:val="10"/>
              </w:rPr>
            </w:r>
          </w:p>
          <w:p>
            <w:pPr>
              <w:ind w:left="0" w:right="0" w:firstLine="0"/>
              <w:jc w:val="both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Меры по соблюдению требований охраны труда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  <w:p>
            <w:pPr>
              <w:numPr>
                <w:ilvl w:val="0"/>
                <w:numId w:val="45"/>
              </w:numPr>
              <w:ind w:left="0" w:right="0" w:firstLine="283"/>
              <w:jc w:val="both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none"/>
              </w:rPr>
              <w:t xml:space="preserve">Правила по охране труда при строительстве, реконструкции и ремонте (утверждены приказом Министерства труда от 11.12.2020 № 883н);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  <w:p>
            <w:pPr>
              <w:numPr>
                <w:ilvl w:val="0"/>
                <w:numId w:val="45"/>
              </w:numPr>
              <w:ind w:left="0" w:right="0" w:firstLine="283"/>
              <w:jc w:val="both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Правил по охране труда при выполнении электросварочных и газосварочных работ (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none"/>
              </w:rPr>
              <w:t xml:space="preserve">утверждены приказом Министерства труда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 от 11.12.2020 № 884н)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  <w:p>
            <w:pPr>
              <w:numPr>
                <w:ilvl w:val="0"/>
                <w:numId w:val="45"/>
              </w:numPr>
              <w:contextualSpacing/>
              <w:ind w:left="0" w:right="0" w:firstLine="283"/>
              <w:jc w:val="both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Правила по охране труда при работе на высоте (утверждены приказом Министерства труда от 16.11.2020 №782н)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  <w:p>
            <w:pPr>
              <w:pStyle w:val="982"/>
              <w:numPr>
                <w:ilvl w:val="0"/>
                <w:numId w:val="46"/>
              </w:numPr>
              <w:contextualSpacing/>
              <w:ind w:left="0" w:right="0" w:firstLine="283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24"/>
                <w:szCs w:val="24"/>
                <w:highlight w:val="none"/>
              </w:rPr>
              <w:t xml:space="preserve">Правила по охране труда при производстве дорожных строительных и ремонтно-строительных работ (Приказ Министерства труда от 11.12.2020г. № 882Н);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pStyle w:val="982"/>
              <w:numPr>
                <w:ilvl w:val="0"/>
                <w:numId w:val="46"/>
              </w:numPr>
              <w:contextualSpacing/>
              <w:ind w:left="0" w:right="0" w:firstLine="283"/>
              <w:jc w:val="both"/>
              <w:spacing w:before="0" w:beforeAutospacing="0" w:after="0" w:afterAutospacing="0" w:line="240" w:lineRule="auto"/>
              <w:shd w:val="clear" w:color="ffffff" w:fill="ffffff"/>
              <w:tabs>
                <w:tab w:val="left" w:pos="567" w:leader="none"/>
              </w:tabs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Правила по охране труда при выполнении антикоррозионных работ по нанесению защитных покрытий на тру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бы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ГОСТ Р 12.3.052-2020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«Система стандартов безопасности труда. Строительство. Работы антикоррозионные. Требования безопасности»);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14:ligatures w14:val="none"/>
              </w:rPr>
            </w:r>
          </w:p>
          <w:p>
            <w:pPr>
              <w:numPr>
                <w:ilvl w:val="0"/>
                <w:numId w:val="45"/>
              </w:numPr>
              <w:contextualSpacing/>
              <w:ind w:left="0" w:right="0" w:firstLine="283"/>
              <w:jc w:val="both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Правила по охране труда при работе с инструментом и приспособлениями (утверждены приказом Министерства труда от 27.11.2020 № 835н);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  <w:p>
            <w:pPr>
              <w:numPr>
                <w:ilvl w:val="0"/>
                <w:numId w:val="45"/>
              </w:numPr>
              <w:contextualSpacing/>
              <w:ind w:left="0" w:right="0" w:firstLine="283"/>
              <w:jc w:val="both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Правила по охране труда при размещении, монтаже, техническом обслуживании и ремонте технологического оборудования (утверждены приказом Министерства труда от 27.11.2020 №833н);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  <w:p>
            <w:pPr>
              <w:numPr>
                <w:ilvl w:val="0"/>
                <w:numId w:val="45"/>
              </w:numPr>
              <w:ind w:left="0" w:right="0" w:firstLine="283"/>
              <w:jc w:val="both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Правила по охране труда при обработке металлов (утв. приказом Министерства труда и социальной защиты Российской Федерации от 11.12.2020 №887н)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none"/>
              </w:rPr>
              <w:t xml:space="preserve">;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  <w:p>
            <w:pPr>
              <w:numPr>
                <w:ilvl w:val="0"/>
                <w:numId w:val="45"/>
              </w:numPr>
              <w:ind w:left="0" w:right="0" w:firstLine="283"/>
              <w:jc w:val="both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Правила при погрузочно-разгрузочных работах и размещении грузов (утв. приказом Министерства труда и социальной защиты Российской Федерации от 28.10.2020 №753н);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  <w:p>
            <w:pPr>
              <w:numPr>
                <w:ilvl w:val="0"/>
                <w:numId w:val="45"/>
              </w:numPr>
              <w:ind w:left="0" w:right="0" w:firstLine="283"/>
              <w:jc w:val="both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Правила по охране труда при эксплуатации электроустановок, утвержденные Приказом Министерства труда и социальной защиты РФ от 15.12.2020 №903н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;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  <w:p>
            <w:pPr>
              <w:numPr>
                <w:ilvl w:val="0"/>
                <w:numId w:val="45"/>
              </w:numPr>
              <w:contextualSpacing/>
              <w:ind w:left="0" w:right="0" w:firstLine="283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non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равила безопасности опасных производственных объектов, на которых используются подъемные сооружения (утв. приказом Федеральной службы по экологическому, технологическому и атомному надзору от 26.11.2020 №461).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  <w:p>
            <w:pPr>
              <w:contextualSpacing/>
              <w:ind w:left="0" w:right="0" w:firstLine="0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  <w:bCs w:val="0"/>
                <w:i w:val="0"/>
                <w:sz w:val="10"/>
                <w:szCs w:val="1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10"/>
                <w:szCs w:val="10"/>
                <w:highlight w:val="none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10"/>
                <w:szCs w:val="10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10"/>
                <w:szCs w:val="10"/>
              </w:rPr>
            </w:r>
          </w:p>
          <w:p>
            <w:pPr>
              <w:pStyle w:val="982"/>
              <w:ind w:left="0" w:right="0" w:firstLine="0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умент, принятый в его развитие 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none"/>
              </w:rPr>
            </w:r>
          </w:p>
          <w:p>
            <w:pPr>
              <w:pStyle w:val="982"/>
              <w:ind w:left="0" w:right="0" w:firstLine="0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  <w:bCs w:val="0"/>
                <w:i w:val="0"/>
                <w:sz w:val="10"/>
                <w:szCs w:val="1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10"/>
                <w:szCs w:val="10"/>
                <w:highlight w:val="none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10"/>
                <w:szCs w:val="10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10"/>
                <w:szCs w:val="10"/>
              </w:rPr>
            </w:r>
          </w:p>
          <w:p>
            <w:pPr>
              <w:contextualSpacing/>
              <w:ind w:left="0" w:right="0" w:firstLine="0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Более подробно требования указаны в проекте договора подряда (в том числе в разделе № 2), который включен в состав Документации о закупке)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  <w:p>
            <w:pPr>
              <w:ind w:left="0" w:right="0" w:firstLine="0"/>
              <w:jc w:val="both"/>
              <w:spacing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gridSpan w:val="2"/>
            <w:tcW w:w="2444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94" w:type="dxa"/>
            <w:vAlign w:val="center"/>
            <w:vMerge w:val="restart"/>
            <w:textDirection w:val="lrTb"/>
            <w:noWrap w:val="false"/>
          </w:tcPr>
          <w:p>
            <w:pPr>
              <w:ind w:left="142" w:right="0" w:firstLine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1.5.4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2531" w:type="dxa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  <w:bCs/>
                <w:i w:val="0"/>
                <w:iCs w:val="0"/>
                <w:sz w:val="24"/>
                <w:szCs w:val="24"/>
                <w:highlight w:val="white"/>
              </w:rPr>
              <w:outlineLvl w:val="2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eastAsia="Calibri"/>
                <w:i w:val="0"/>
                <w:iCs w:val="0"/>
                <w:sz w:val="24"/>
                <w:szCs w:val="24"/>
                <w:highlight w:val="white"/>
              </w:rPr>
              <w:t xml:space="preserve">Соблюдение требований к охране окружающей среды</w:t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W w:w="6759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spacing w:before="0" w:beforeAutospacing="0" w:after="0" w:afterAutospacing="0" w:line="240" w:lineRule="auto"/>
              <w:rPr>
                <w:bCs w:val="0"/>
                <w:i w:val="0"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При выполнении всех ремонтных работ необходимо строго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both"/>
              <w:spacing w:before="0" w:beforeAutospacing="0" w:after="0" w:afterAutospacing="0" w:line="240" w:lineRule="auto"/>
              <w:rPr>
                <w:bCs w:val="0"/>
                <w:i w:val="0"/>
                <w:sz w:val="10"/>
                <w:szCs w:val="10"/>
                <w:highlight w:val="none"/>
              </w:rPr>
            </w:pPr>
            <w:r>
              <w:rPr>
                <w:i w:val="0"/>
                <w:iCs w:val="0"/>
                <w:sz w:val="10"/>
                <w:szCs w:val="10"/>
                <w:highlight w:val="none"/>
              </w:rPr>
            </w:r>
            <w:r>
              <w:rPr>
                <w:bCs w:val="0"/>
                <w:i w:val="0"/>
                <w:sz w:val="10"/>
                <w:szCs w:val="10"/>
                <w:highlight w:val="none"/>
              </w:rPr>
            </w:r>
            <w:r>
              <w:rPr>
                <w:bCs w:val="0"/>
                <w:i w:val="0"/>
                <w:sz w:val="10"/>
                <w:szCs w:val="10"/>
                <w:highlight w:val="none"/>
              </w:rPr>
            </w:r>
          </w:p>
          <w:p>
            <w:pPr>
              <w:ind w:left="0" w:right="0" w:firstLine="0"/>
              <w:jc w:val="both"/>
              <w:spacing w:before="0" w:beforeAutospacing="0" w:after="0" w:afterAutospacing="0" w:line="240" w:lineRule="auto"/>
              <w:rPr>
                <w:bCs w:val="0"/>
                <w:i w:val="0"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Отходы, строительный мусор должны своевременно вывозиться для дальнейшей утилизации.</w:t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both"/>
              <w:spacing w:before="0" w:beforeAutospacing="0" w:after="0" w:afterAutospacing="0" w:line="240" w:lineRule="auto"/>
              <w:rPr>
                <w:bCs/>
                <w:i/>
                <w:sz w:val="10"/>
                <w:szCs w:val="10"/>
              </w:rPr>
            </w:pPr>
            <w:r>
              <w:rPr>
                <w:i w:val="0"/>
                <w:iCs w:val="0"/>
                <w:sz w:val="10"/>
                <w:szCs w:val="10"/>
                <w:highlight w:val="none"/>
              </w:rPr>
            </w:r>
            <w:r>
              <w:rPr>
                <w:bCs/>
                <w:i/>
                <w:sz w:val="10"/>
                <w:szCs w:val="10"/>
              </w:rPr>
            </w:r>
            <w:r>
              <w:rPr>
                <w:bCs/>
                <w:i/>
                <w:sz w:val="10"/>
                <w:szCs w:val="10"/>
              </w:rPr>
            </w:r>
          </w:p>
          <w:p>
            <w:pPr>
              <w:contextualSpacing/>
              <w:ind w:left="0" w:right="37" w:firstLine="0"/>
              <w:jc w:val="both"/>
              <w:spacing w:before="0" w:beforeAutospacing="0" w:after="0" w:afterAutospacing="0" w:line="240" w:lineRule="auto"/>
              <w:widowControl w:val="off"/>
              <w:rPr>
                <w:i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Мероприятия и работы по охране окружающей среды вести в соответствии: 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82"/>
              <w:numPr>
                <w:ilvl w:val="0"/>
                <w:numId w:val="54"/>
              </w:numPr>
              <w:contextualSpacing/>
              <w:ind w:left="0" w:right="37" w:firstLine="283"/>
              <w:jc w:val="both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</w:tabs>
              <w:rPr>
                <w:i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Федеральный закон от 10.01.2002 № 7-ФЗ «Об охране окружающей среды» (ред. от 08.08.2024);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82"/>
              <w:numPr>
                <w:ilvl w:val="0"/>
                <w:numId w:val="54"/>
              </w:numPr>
              <w:contextualSpacing/>
              <w:ind w:left="0" w:right="37" w:firstLine="283"/>
              <w:jc w:val="both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</w:tabs>
              <w:rPr>
                <w:i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Федеральный закон от 04.05.1999 № 96-ФЗ «Об охране атмосферного воздуха» (ред. от 08.08.2024);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82"/>
              <w:numPr>
                <w:ilvl w:val="0"/>
                <w:numId w:val="54"/>
              </w:numPr>
              <w:contextualSpacing/>
              <w:ind w:left="0" w:right="37" w:firstLine="283"/>
              <w:jc w:val="both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</w:tabs>
              <w:rPr>
                <w:i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Водный кодекс Российской Федерации от 03.06.2006 № 74-ФЗ (ред. от 08.08.2024)</w:t>
            </w: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contextualSpacing/>
              <w:ind w:left="0" w:right="37" w:firstLine="0"/>
              <w:jc w:val="both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</w:tabs>
              <w:rPr>
                <w:bCs/>
                <w:i/>
                <w:sz w:val="10"/>
                <w:szCs w:val="10"/>
              </w:rPr>
            </w:pPr>
            <w:r>
              <w:rPr>
                <w:i w:val="0"/>
                <w:iCs w:val="0"/>
                <w:sz w:val="10"/>
                <w:szCs w:val="10"/>
                <w:highlight w:val="none"/>
              </w:rPr>
            </w:r>
            <w:r>
              <w:rPr>
                <w:bCs/>
                <w:i/>
                <w:sz w:val="10"/>
                <w:szCs w:val="10"/>
              </w:rPr>
            </w:r>
            <w:r>
              <w:rPr>
                <w:bCs/>
                <w:i/>
                <w:sz w:val="10"/>
                <w:szCs w:val="10"/>
              </w:rPr>
            </w:r>
          </w:p>
          <w:p>
            <w:pPr>
              <w:pStyle w:val="982"/>
              <w:ind w:left="0" w:firstLine="0"/>
              <w:jc w:val="both"/>
              <w:spacing w:before="0" w:beforeAutospacing="0" w:after="0" w:afterAutospacing="0" w:line="240" w:lineRule="auto"/>
              <w:tabs>
                <w:tab w:val="left" w:pos="256" w:leader="none"/>
              </w:tabs>
              <w:rPr>
                <w:bCs/>
                <w:highlight w:val="white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</w:t>
            </w:r>
            <w:r>
              <w:rPr>
                <w:i w:val="0"/>
                <w:iCs w:val="0"/>
                <w:sz w:val="24"/>
                <w:szCs w:val="24"/>
              </w:rPr>
              <w:t xml:space="preserve">умент, принятый в его </w:t>
            </w:r>
            <w:r>
              <w:rPr>
                <w:i w:val="0"/>
                <w:iCs w:val="0"/>
                <w:sz w:val="24"/>
                <w:szCs w:val="24"/>
              </w:rPr>
              <w:t xml:space="preserve">развитие</w:t>
            </w: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.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ind w:left="0" w:right="0" w:firstLine="283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  <w:bCs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2444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9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contextualSpacing/>
              <w:ind w:left="283" w:right="0" w:firstLine="0"/>
              <w:jc w:val="center"/>
              <w:spacing w:before="60" w:after="60" w:line="240" w:lineRule="auto"/>
              <w:rPr>
                <w:rFonts w:eastAsia="Calibri"/>
                <w:i w:val="0"/>
                <w:iCs w:val="0"/>
                <w:sz w:val="24"/>
                <w:szCs w:val="24"/>
              </w:rPr>
            </w:pP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</w:p>
        </w:tc>
        <w:tc>
          <w:tcPr>
            <w:gridSpan w:val="4"/>
            <w:tcW w:w="9289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</w:rPr>
              <w:t xml:space="preserve">Требования к результатам работ</w:t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gridSpan w:val="2"/>
            <w:tcW w:w="2444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  <w:tc>
          <w:tcPr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94" w:type="dxa"/>
            <w:vAlign w:val="center"/>
            <w:textDirection w:val="lrTb"/>
            <w:noWrap w:val="false"/>
          </w:tcPr>
          <w:p>
            <w:pPr>
              <w:contextualSpacing/>
              <w:ind w:left="0" w:right="0" w:firstLine="0"/>
              <w:jc w:val="center"/>
              <w:spacing w:before="60" w:after="60" w:line="240" w:lineRule="auto"/>
              <w:rPr>
                <w:rFonts w:eastAsia="Calibri"/>
                <w:i w:val="0"/>
                <w:iCs w:val="0"/>
                <w:sz w:val="24"/>
                <w:szCs w:val="24"/>
              </w:rPr>
            </w:pP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2.1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</w:p>
        </w:tc>
        <w:tc>
          <w:tcPr>
            <w:gridSpan w:val="4"/>
            <w:tcW w:w="9289" w:type="dxa"/>
            <w:textDirection w:val="lrTb"/>
            <w:noWrap w:val="false"/>
          </w:tcPr>
          <w:p>
            <w:pPr>
              <w:ind w:firstLine="0"/>
              <w:spacing w:before="60" w:line="240" w:lineRule="auto"/>
              <w:rPr>
                <w:b/>
                <w:sz w:val="24"/>
                <w:szCs w:val="24"/>
              </w:rPr>
            </w:pPr>
            <w:r>
              <w:rPr>
                <w:b/>
                <w:i w:val="0"/>
                <w:iCs w:val="0"/>
                <w:sz w:val="24"/>
                <w:szCs w:val="24"/>
              </w:rPr>
              <w:t xml:space="preserve">Общие требования к результатам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spacing w:line="240" w:lineRule="auto"/>
              <w:rPr>
                <w:i/>
                <w:iCs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Состояние паропровода после ремонта должно соответствовать требованиям нормативно-технической д</w:t>
            </w: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окументации </w:t>
            </w:r>
            <w:r>
              <w:rPr>
                <w:bCs/>
                <w:i w:val="0"/>
                <w:iCs w:val="0"/>
                <w:sz w:val="24"/>
                <w:szCs w:val="24"/>
                <w:highlight w:val="none"/>
              </w:rPr>
              <w:t xml:space="preserve">на ремонт в течение гарантийного срока и обеспечить безотказную работу с момента приемки.</w:t>
            </w:r>
            <w:r>
              <w:rPr>
                <w:i/>
                <w:iCs/>
                <w:sz w:val="22"/>
                <w:szCs w:val="22"/>
                <w:highlight w:val="none"/>
              </w:rPr>
            </w:r>
            <w:r>
              <w:rPr>
                <w:i/>
                <w:iCs/>
                <w:sz w:val="22"/>
                <w:szCs w:val="22"/>
                <w:highlight w:val="none"/>
              </w:rPr>
            </w:r>
          </w:p>
          <w:p>
            <w:pPr>
              <w:ind w:firstLine="0"/>
              <w:spacing w:before="60" w:line="240" w:lineRule="auto"/>
              <w:rPr>
                <w:b/>
                <w:i w:val="0"/>
                <w:iCs w:val="0"/>
                <w:sz w:val="24"/>
                <w:szCs w:val="24"/>
              </w:rPr>
            </w:pPr>
            <w:r>
              <w:rPr>
                <w:b/>
                <w:i w:val="0"/>
                <w:iCs w:val="0"/>
                <w:sz w:val="24"/>
                <w:szCs w:val="24"/>
              </w:rPr>
            </w:r>
            <w:r>
              <w:rPr>
                <w:b/>
                <w:i w:val="0"/>
                <w:iCs w:val="0"/>
                <w:sz w:val="24"/>
                <w:szCs w:val="24"/>
              </w:rPr>
            </w:r>
            <w:r>
              <w:rPr>
                <w:b/>
                <w:i w:val="0"/>
                <w:iCs w:val="0"/>
                <w:sz w:val="24"/>
                <w:szCs w:val="24"/>
              </w:rPr>
            </w:r>
          </w:p>
        </w:tc>
        <w:tc>
          <w:tcPr>
            <w:gridSpan w:val="2"/>
            <w:tcW w:w="2444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94" w:type="dxa"/>
            <w:vAlign w:val="center"/>
            <w:textDirection w:val="lrTb"/>
            <w:noWrap w:val="false"/>
          </w:tcPr>
          <w:p>
            <w:pPr>
              <w:contextualSpacing/>
              <w:ind w:left="0" w:right="0" w:firstLine="0"/>
              <w:jc w:val="center"/>
              <w:spacing w:before="60" w:after="60" w:line="276" w:lineRule="auto"/>
              <w:rPr>
                <w:rFonts w:eastAsia="Calibri"/>
                <w:b w:val="0"/>
                <w:bCs w:val="0"/>
                <w:sz w:val="24"/>
                <w:szCs w:val="24"/>
              </w:rPr>
            </w:pPr>
            <w:r>
              <w:rPr>
                <w:rFonts w:eastAsia="Calibri"/>
                <w:b w:val="0"/>
                <w:bCs w:val="0"/>
                <w:sz w:val="22"/>
                <w:szCs w:val="22"/>
              </w:rPr>
              <w:t xml:space="preserve">2.2</w:t>
            </w:r>
            <w:r>
              <w:rPr>
                <w:rFonts w:eastAsia="Calibri"/>
                <w:b w:val="0"/>
                <w:bCs w:val="0"/>
                <w:sz w:val="24"/>
                <w:szCs w:val="24"/>
              </w:rPr>
            </w:r>
            <w:r>
              <w:rPr>
                <w:rFonts w:eastAsia="Calibri"/>
                <w:b w:val="0"/>
                <w:bCs w:val="0"/>
                <w:sz w:val="24"/>
                <w:szCs w:val="24"/>
              </w:rPr>
            </w:r>
          </w:p>
        </w:tc>
        <w:tc>
          <w:tcPr>
            <w:gridSpan w:val="4"/>
            <w:tcW w:w="9289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Требования к порядку приемки результатов работ</w:t>
            </w:r>
            <w:r>
              <w:rPr>
                <w:bCs/>
                <w:sz w:val="24"/>
                <w:szCs w:val="24"/>
                <w:highlight w:val="white"/>
              </w:rPr>
              <w:t xml:space="preserve"> 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  <w:p>
            <w:pPr>
              <w:ind w:left="0" w:right="0" w:firstLine="0"/>
              <w:jc w:val="both"/>
              <w:spacing w:line="240" w:lineRule="auto"/>
              <w:rPr>
                <w:b w:val="0"/>
                <w:bCs/>
                <w:i/>
                <w:sz w:val="22"/>
                <w:szCs w:val="22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  <w:highlight w:val="none"/>
              </w:rPr>
              <w:t xml:space="preserve">Приемка выполненных работ осуществляется в соответствии с :</w:t>
            </w:r>
            <w:r>
              <w:rPr>
                <w:b w:val="0"/>
                <w:bCs/>
                <w:i/>
                <w:sz w:val="22"/>
                <w:szCs w:val="22"/>
              </w:rPr>
            </w:r>
            <w:r>
              <w:rPr>
                <w:b w:val="0"/>
                <w:bCs/>
                <w:i/>
                <w:sz w:val="22"/>
                <w:szCs w:val="22"/>
              </w:rPr>
            </w:r>
          </w:p>
          <w:p>
            <w:pPr>
              <w:ind w:left="0" w:right="0" w:firstLine="283"/>
              <w:jc w:val="both"/>
              <w:spacing w:line="240" w:lineRule="auto"/>
              <w:tabs>
                <w:tab w:val="left" w:pos="567" w:leader="none"/>
              </w:tabs>
              <w:rPr>
                <w:i/>
                <w:iCs/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  <w:t xml:space="preserve">–</w:t>
            </w:r>
            <w:r>
              <w:rPr>
                <w:i w:val="0"/>
                <w:iCs w:val="0"/>
                <w:sz w:val="24"/>
                <w:szCs w:val="24"/>
              </w:rPr>
              <w:tab/>
              <w:t xml:space="preserve">Положение «Об организации контроля и приемке выполненных работ на ремонтируемых объектах, объектах модернизации, реконструкции и технического перевооружения. Определение эффективности воздействия на оборудование АО «ДГК»» №21-003-2019 (приказ АО «ДГК» от </w:t>
            </w:r>
            <w:r>
              <w:rPr>
                <w:i w:val="0"/>
                <w:iCs w:val="0"/>
                <w:sz w:val="24"/>
                <w:szCs w:val="24"/>
              </w:rPr>
              <w:t xml:space="preserve">29.11.2019 №555) (Приложение № 7 к </w:t>
            </w:r>
            <w:r>
              <w:rPr>
                <w:szCs w:val="24"/>
                <w:highlight w:val="white"/>
                <w:lang w:val="ru-RU" w:bidi="ar-SA"/>
              </w:rPr>
              <w:t xml:space="preserve">к настоящим</w:t>
            </w:r>
            <w:r>
              <w:rPr>
                <w:szCs w:val="24"/>
                <w:highlight w:val="white"/>
                <w:lang w:val="ru-RU" w:bidi="ar-SA"/>
              </w:rPr>
              <w:t xml:space="preserve"> </w:t>
            </w:r>
            <w:r>
              <w:rPr>
                <w:i w:val="0"/>
                <w:iCs w:val="0"/>
                <w:sz w:val="24"/>
                <w:szCs w:val="24"/>
              </w:rPr>
              <w:t xml:space="preserve">ТТ).</w:t>
            </w:r>
            <w:r>
              <w:rPr>
                <w:i/>
                <w:iCs/>
                <w:sz w:val="22"/>
                <w:szCs w:val="22"/>
                <w:highlight w:val="none"/>
              </w:rPr>
            </w:r>
            <w:r>
              <w:rPr>
                <w:i/>
                <w:iCs/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2444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  <w:tc>
          <w:tcPr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3"/>
        </w:trPr>
        <w:tc>
          <w:tcPr>
            <w:tcW w:w="994" w:type="dxa"/>
            <w:vAlign w:val="center"/>
            <w:textDirection w:val="lrTb"/>
            <w:noWrap w:val="false"/>
          </w:tcPr>
          <w:p>
            <w:pPr>
              <w:contextualSpacing/>
              <w:ind w:left="0" w:right="0" w:firstLine="0"/>
              <w:jc w:val="center"/>
              <w:spacing w:before="60" w:after="60" w:line="276" w:lineRule="auto"/>
              <w:rPr>
                <w:rFonts w:eastAsia="Calibri"/>
                <w:b w:val="0"/>
                <w:bCs w:val="0"/>
                <w:sz w:val="22"/>
                <w:szCs w:val="22"/>
              </w:rPr>
            </w:pPr>
            <w:r>
              <w:rPr>
                <w:rFonts w:eastAsia="Calibri"/>
                <w:b w:val="0"/>
                <w:bCs w:val="0"/>
                <w:sz w:val="22"/>
                <w:szCs w:val="22"/>
              </w:rPr>
              <w:t xml:space="preserve">2.</w:t>
            </w:r>
            <w:r>
              <w:rPr>
                <w:rFonts w:eastAsia="Calibri"/>
                <w:b w:val="0"/>
                <w:bCs w:val="0"/>
                <w:sz w:val="22"/>
                <w:szCs w:val="22"/>
              </w:rPr>
              <w:t xml:space="preserve">3</w:t>
            </w:r>
            <w:r>
              <w:rPr>
                <w:rFonts w:eastAsia="Calibri"/>
                <w:b w:val="0"/>
                <w:bCs w:val="0"/>
                <w:sz w:val="22"/>
                <w:szCs w:val="22"/>
              </w:rPr>
            </w:r>
            <w:r>
              <w:rPr>
                <w:rFonts w:eastAsia="Calibri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4"/>
            <w:tcW w:w="9289" w:type="dxa"/>
            <w:textDirection w:val="lrTb"/>
            <w:noWrap w:val="false"/>
          </w:tcPr>
          <w:p>
            <w:pPr>
              <w:ind w:firstLine="0"/>
              <w:spacing w:before="60" w:line="240" w:lineRule="auto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</w:rPr>
              <w:t xml:space="preserve">Требования к оформлению документации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  <w:p>
            <w:pPr>
              <w:ind w:firstLine="0"/>
              <w:jc w:val="both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При выполнении работ Подрядчик обязан оформить и передать Заказчику в установленные ср</w:t>
            </w:r>
            <w:r>
              <w:rPr>
                <w:sz w:val="24"/>
                <w:szCs w:val="24"/>
              </w:rPr>
              <w:t xml:space="preserve">оки сдаточную и исполнительную документацию в соответствии с Положением «Об организации контроля и приемке выполненных работ на ремонтируемых объектах, объектах модернизации, реконструкции и технического перевооружения», утвержденным приказом № 555 от 29.1</w:t>
            </w:r>
            <w:r>
              <w:rPr>
                <w:sz w:val="24"/>
                <w:szCs w:val="24"/>
              </w:rPr>
              <w:t xml:space="preserve">1.2019 г. АО «ДГК»</w:t>
            </w:r>
            <w:r>
              <w:rPr>
                <w:sz w:val="24"/>
                <w:szCs w:val="24"/>
              </w:rPr>
              <w:t xml:space="preserve"> (Приложение № 7 к настоящим ТТ)</w:t>
            </w:r>
            <w:r>
              <w:rPr>
                <w:sz w:val="24"/>
                <w:szCs w:val="24"/>
              </w:rPr>
              <w:t xml:space="preserve">, а также приказом Минстроя России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 от 16.05.2023 № 344/пр.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contextualSpacing/>
              <w:ind w:firstLine="0"/>
              <w:jc w:val="both"/>
              <w:spacing w:before="60" w:line="240" w:lineRule="auto"/>
              <w:widowControl w:val="off"/>
              <w:tabs>
                <w:tab w:val="left" w:pos="426" w:leader="none"/>
              </w:tabs>
              <w:rPr>
                <w:b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Перечень исполнительной документации подробно указан в проекте договора подряда в разделе 4 (в том числе в Приложениях № 4 и № 14 к Договору) </w:t>
            </w:r>
            <w:r>
              <w:rPr>
                <w:i/>
                <w:szCs w:val="24"/>
                <w:highlight w:val="white"/>
                <w:lang w:val="ru-RU" w:bidi="ar-SA"/>
              </w:rPr>
              <w:t xml:space="preserve">(Приложение № 2 к Документации о закупке)</w:t>
            </w:r>
            <w:r>
              <w:rPr>
                <w:szCs w:val="24"/>
                <w:highlight w:val="white"/>
                <w:lang w:val="ru-RU" w:bidi="ar-SA"/>
              </w:rPr>
              <w:t xml:space="preserve">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firstLine="0"/>
              <w:spacing w:before="6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2444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6"/>
        </w:trPr>
        <w:tc>
          <w:tcPr>
            <w:tcW w:w="99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contextualSpacing/>
              <w:ind w:left="360" w:right="0" w:hanging="218"/>
              <w:jc w:val="center"/>
              <w:spacing w:before="60" w:after="60" w:line="240" w:lineRule="auto"/>
              <w:rPr>
                <w:rFonts w:eastAsia="Calibri"/>
                <w:i w:val="0"/>
                <w:iCs w:val="0"/>
                <w:sz w:val="24"/>
                <w:szCs w:val="24"/>
              </w:rPr>
            </w:pP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</w:p>
        </w:tc>
        <w:tc>
          <w:tcPr>
            <w:gridSpan w:val="4"/>
            <w:tcW w:w="9289" w:type="dxa"/>
            <w:vAlign w:val="center"/>
            <w:textDirection w:val="lrTb"/>
            <w:noWrap w:val="false"/>
          </w:tcPr>
          <w:p>
            <w:pPr>
              <w:ind w:firstLine="0"/>
              <w:spacing w:before="40" w:line="240" w:lineRule="auto"/>
              <w:rPr>
                <w:bCs w:val="0"/>
                <w:i w:val="0"/>
                <w:sz w:val="24"/>
                <w:szCs w:val="24"/>
              </w:rPr>
            </w:pPr>
            <w:r>
              <w:rPr>
                <w:b/>
                <w:i w:val="0"/>
                <w:iCs w:val="0"/>
                <w:sz w:val="24"/>
                <w:szCs w:val="24"/>
              </w:rPr>
              <w:t xml:space="preserve"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ТТ):</w:t>
            </w:r>
            <w:r>
              <w:rPr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bCs w:val="0"/>
                <w:i w:val="0"/>
                <w:sz w:val="24"/>
                <w:szCs w:val="24"/>
              </w:rPr>
            </w:r>
            <w:r>
              <w:rPr>
                <w:bCs w:val="0"/>
                <w:i w:val="0"/>
                <w:sz w:val="24"/>
                <w:szCs w:val="24"/>
              </w:rPr>
            </w:r>
          </w:p>
          <w:p>
            <w:pPr>
              <w:ind w:firstLine="0"/>
              <w:spacing w:before="40" w:line="240" w:lineRule="auto"/>
              <w:rPr>
                <w:bCs w:val="0"/>
                <w:i w:val="0"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Подробно указаны в проекте договора подряда, который включен в состав Документации о закупке.</w:t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</w:p>
          <w:p>
            <w:pPr>
              <w:ind w:firstLine="0"/>
              <w:spacing w:before="40" w:line="240" w:lineRule="auto"/>
              <w:rPr>
                <w:b/>
                <w:bCs w:val="0"/>
                <w:i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b/>
                <w:bCs w:val="0"/>
                <w:i w:val="0"/>
                <w:sz w:val="24"/>
                <w:szCs w:val="24"/>
              </w:rPr>
            </w:r>
            <w:r>
              <w:rPr>
                <w:b/>
                <w:bCs w:val="0"/>
                <w:i w:val="0"/>
                <w:sz w:val="24"/>
                <w:szCs w:val="24"/>
              </w:rPr>
            </w:r>
          </w:p>
        </w:tc>
        <w:tc>
          <w:tcPr>
            <w:gridSpan w:val="2"/>
            <w:tcW w:w="2444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  <w:tc>
          <w:tcPr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99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contextualSpacing/>
              <w:ind w:left="283" w:right="0" w:hanging="5"/>
              <w:jc w:val="center"/>
              <w:spacing w:before="60" w:after="6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gridSpan w:val="4"/>
            <w:tcW w:w="9289" w:type="dxa"/>
            <w:textDirection w:val="lrTb"/>
            <w:noWrap w:val="false"/>
          </w:tcPr>
          <w:p>
            <w:pPr>
              <w:ind w:firstLine="0"/>
              <w:jc w:val="both"/>
              <w:spacing w:before="20" w:line="240" w:lineRule="auto"/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4"/>
                <w:szCs w:val="24"/>
              </w:rPr>
              <w:t xml:space="preserve">Требования к ответственности и гарантиям подрядчика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highlight w:val="none"/>
              </w:rPr>
            </w:r>
          </w:p>
          <w:p>
            <w:pPr>
              <w:ind w:firstLine="0"/>
              <w:jc w:val="both"/>
              <w:spacing w:line="240" w:lineRule="auto"/>
              <w:tabs>
                <w:tab w:val="left" w:pos="1134" w:leader="none"/>
              </w:tabs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4"/>
                <w:szCs w:val="24"/>
                <w:lang w:bidi="ru-RU"/>
              </w:rPr>
              <w:t xml:space="preserve">Подробно требования к сроку и объему предоставления гарантий указаны в проекте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Договора подряда (в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том числе в разделе № 8 и № 7) </w:t>
            </w:r>
            <w:r>
              <w:rPr>
                <w:szCs w:val="24"/>
                <w:highlight w:val="white"/>
                <w:lang w:val="ru-RU" w:bidi="ar-SA"/>
              </w:rPr>
              <w:t xml:space="preserve">(Приложение № 2 к Документации о закупке).</w:t>
            </w:r>
            <w:r>
              <w:rPr>
                <w:rFonts w:ascii="Times New Roman" w:hAnsi="Times New Roman" w:cs="Times New Roman"/>
                <w:bCs/>
                <w:szCs w:val="24"/>
              </w:rPr>
            </w:r>
            <w:r>
              <w:rPr>
                <w:rFonts w:ascii="Times New Roman" w:hAnsi="Times New Roman" w:cs="Times New Roman"/>
                <w:bCs/>
                <w:szCs w:val="24"/>
              </w:rPr>
            </w:r>
          </w:p>
          <w:p>
            <w:pPr>
              <w:ind w:firstLine="0"/>
              <w:jc w:val="both"/>
              <w:spacing w:before="20" w:line="240" w:lineRule="auto"/>
              <w:rPr>
                <w:rFonts w:ascii="Times New Roman" w:hAnsi="Times New Roman" w:cs="Times New Roman"/>
                <w:b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 w:val="0"/>
                <w:i w:val="0"/>
                <w:sz w:val="24"/>
                <w:szCs w:val="24"/>
              </w:rPr>
            </w:r>
          </w:p>
        </w:tc>
        <w:tc>
          <w:tcPr>
            <w:gridSpan w:val="2"/>
            <w:tcW w:w="2444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302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>
          <w:trHeight w:val="850"/>
        </w:trPr>
        <w:tc>
          <w:tcPr>
            <w:tcW w:w="994" w:type="dxa"/>
            <w:vAlign w:val="center"/>
            <w:textDirection w:val="lrTb"/>
            <w:noWrap w:val="false"/>
          </w:tcPr>
          <w:p>
            <w:pPr>
              <w:contextualSpacing/>
              <w:ind w:left="283" w:right="0" w:firstLine="0"/>
              <w:spacing w:before="60" w:after="60" w:line="276" w:lineRule="auto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5</w:t>
            </w:r>
            <w:r>
              <w:rPr>
                <w:rFonts w:eastAsia="Calibri"/>
                <w:b/>
                <w:sz w:val="24"/>
                <w:szCs w:val="24"/>
              </w:rPr>
              <w:t xml:space="preserve">.</w:t>
            </w:r>
            <w:r>
              <w:rPr>
                <w:rFonts w:eastAsia="Calibri"/>
                <w:b/>
                <w:sz w:val="24"/>
                <w:szCs w:val="24"/>
              </w:rPr>
            </w:r>
            <w:r>
              <w:rPr>
                <w:rFonts w:eastAsia="Calibri"/>
                <w:b/>
                <w:sz w:val="24"/>
                <w:szCs w:val="24"/>
              </w:rPr>
            </w:r>
          </w:p>
        </w:tc>
        <w:tc>
          <w:tcPr>
            <w:gridSpan w:val="4"/>
            <w:tcW w:w="9289" w:type="dxa"/>
            <w:textDirection w:val="lrTb"/>
            <w:noWrap w:val="false"/>
          </w:tcPr>
          <w:p>
            <w:pPr>
              <w:ind w:firstLine="0"/>
              <w:jc w:val="both"/>
              <w:spacing w:line="240" w:lineRule="auto"/>
              <w:tabs>
                <w:tab w:val="left" w:pos="1134" w:leader="none"/>
              </w:tabs>
              <w:rPr>
                <w:rFonts w:eastAsia="Tahoma" w:cs="Lohit Devanagari"/>
                <w:b/>
                <w:bCs/>
                <w:i w:val="0"/>
                <w:iCs w:val="0"/>
                <w:sz w:val="24"/>
                <w:szCs w:val="24"/>
                <w:highlight w:val="none"/>
              </w:rPr>
            </w:pPr>
            <w:r>
              <w:rPr>
                <w:rFonts w:eastAsia="Tahoma" w:cs="Lohit Devanagari"/>
                <w:b/>
                <w:i w:val="0"/>
                <w:iCs w:val="0"/>
                <w:sz w:val="24"/>
                <w:szCs w:val="24"/>
              </w:rPr>
              <w:t xml:space="preserve">Требования к Подрядчику (и субподрядчикам) и его обязательствам, влияющим на исполнение Договора</w:t>
            </w:r>
            <w:r>
              <w:rPr>
                <w:rFonts w:eastAsia="Tahoma" w:cs="Lohit Devanagari"/>
                <w:b/>
                <w:bCs/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rFonts w:eastAsia="Tahoma" w:cs="Lohit Devanagari"/>
                <w:b/>
                <w:bCs/>
                <w:i w:val="0"/>
                <w:iCs w:val="0"/>
                <w:sz w:val="24"/>
                <w:szCs w:val="24"/>
                <w:highlight w:val="none"/>
              </w:rPr>
            </w:r>
          </w:p>
          <w:p>
            <w:pPr>
              <w:ind w:firstLine="0"/>
              <w:jc w:val="both"/>
              <w:spacing w:line="240" w:lineRule="auto"/>
              <w:tabs>
                <w:tab w:val="left" w:pos="1134" w:leader="none"/>
              </w:tabs>
              <w:rPr>
                <w:rFonts w:eastAsia="Tahoma" w:cs="Lohit Devanagari"/>
                <w:b/>
                <w:sz w:val="23"/>
                <w:szCs w:val="23"/>
              </w:rPr>
            </w:pPr>
            <w:r>
              <w:rPr>
                <w:rFonts w:eastAsia="Tahoma" w:cs="Lohit Devanagari"/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  <w:t xml:space="preserve">Требования к субподрядным организациям, привлекаемым</w:t>
            </w:r>
            <w:r>
              <w:rPr>
                <w:i w:val="0"/>
                <w:iCs w:val="0"/>
                <w:sz w:val="24"/>
                <w:szCs w:val="24"/>
              </w:rPr>
              <w:t xml:space="preserve"> к выполнению работ </w:t>
            </w:r>
            <w:r>
              <w:rPr>
                <w:i w:val="0"/>
                <w:iCs w:val="0"/>
                <w:sz w:val="24"/>
                <w:szCs w:val="24"/>
              </w:rPr>
              <w:t xml:space="preserve">подробно указаны в проекте </w:t>
            </w:r>
            <w:r>
              <w:rPr>
                <w:rFonts w:eastAsia="Tahoma" w:cs="Lohit Devanagari"/>
                <w:i w:val="0"/>
                <w:iCs w:val="0"/>
                <w:sz w:val="24"/>
                <w:szCs w:val="24"/>
              </w:rPr>
              <w:t xml:space="preserve"> договора подряда (</w:t>
            </w:r>
            <w:r>
              <w:rPr>
                <w:i w:val="0"/>
                <w:iCs w:val="0"/>
                <w:sz w:val="24"/>
                <w:szCs w:val="24"/>
              </w:rPr>
              <w:t xml:space="preserve">в том числе в раз</w:t>
            </w:r>
            <w:r>
              <w:rPr>
                <w:i w:val="0"/>
                <w:iCs w:val="0"/>
                <w:sz w:val="24"/>
                <w:szCs w:val="24"/>
              </w:rPr>
              <w:t xml:space="preserve">деле № 2</w:t>
            </w:r>
            <w:r>
              <w:rPr>
                <w:rFonts w:eastAsia="Tahoma" w:cs="Lohit Devanagari"/>
                <w:i w:val="0"/>
                <w:iCs w:val="0"/>
                <w:sz w:val="24"/>
                <w:szCs w:val="24"/>
              </w:rPr>
              <w:t xml:space="preserve">) </w:t>
            </w:r>
            <w:r>
              <w:rPr>
                <w:rFonts w:eastAsia="Tahoma" w:cs="Lohit Devanagari"/>
                <w:i w:val="0"/>
                <w:iCs w:val="0"/>
                <w:sz w:val="24"/>
                <w:szCs w:val="24"/>
                <w:lang w:eastAsia="en-US"/>
              </w:rPr>
              <w:t xml:space="preserve">(Приложение № 2 к Документации о закупке).</w:t>
            </w:r>
            <w:r>
              <w:rPr>
                <w:rFonts w:eastAsia="Tahoma" w:cs="Lohit Devanagari"/>
                <w:b/>
                <w:sz w:val="23"/>
                <w:szCs w:val="23"/>
              </w:rPr>
            </w:r>
            <w:r>
              <w:rPr>
                <w:rFonts w:eastAsia="Tahoma" w:cs="Lohit Devanagari"/>
                <w:b/>
                <w:sz w:val="23"/>
                <w:szCs w:val="23"/>
              </w:rPr>
            </w:r>
          </w:p>
          <w:p>
            <w:pPr>
              <w:ind w:firstLine="0"/>
              <w:jc w:val="both"/>
              <w:spacing w:line="276" w:lineRule="auto"/>
              <w:tabs>
                <w:tab w:val="left" w:pos="1134" w:leader="none"/>
              </w:tabs>
              <w:rPr>
                <w:bCs/>
                <w:i/>
                <w:sz w:val="22"/>
                <w:szCs w:val="22"/>
              </w:rPr>
            </w:pPr>
            <w:r>
              <w:rPr>
                <w:rFonts w:eastAsia="Tahoma" w:cs="Lohit Devanagari"/>
                <w:b/>
                <w:sz w:val="23"/>
                <w:szCs w:val="23"/>
                <w:highlight w:val="none"/>
              </w:rPr>
            </w:r>
            <w:r>
              <w:rPr>
                <w:bCs/>
                <w:i/>
                <w:sz w:val="22"/>
                <w:szCs w:val="22"/>
              </w:rPr>
            </w:r>
            <w:r>
              <w:rPr>
                <w:bCs/>
                <w:i/>
                <w:sz w:val="22"/>
                <w:szCs w:val="22"/>
              </w:rPr>
            </w:r>
          </w:p>
        </w:tc>
        <w:tc>
          <w:tcPr>
            <w:gridSpan w:val="2"/>
            <w:tcW w:w="2444" w:type="dxa"/>
            <w:textDirection w:val="lrTb"/>
            <w:noWrap w:val="false"/>
          </w:tcPr>
          <w:p>
            <w:pPr>
              <w:ind w:firstLine="0"/>
              <w:jc w:val="center"/>
              <w:spacing w:line="276" w:lineRule="auto"/>
              <w:rPr>
                <w:bCs/>
                <w:szCs w:val="24"/>
                <w:highlight w:val="green"/>
              </w:rPr>
            </w:pPr>
            <w:r>
              <w:rPr>
                <w:bCs/>
                <w:szCs w:val="24"/>
                <w:highlight w:val="green"/>
              </w:rPr>
            </w:r>
            <w:r>
              <w:rPr>
                <w:bCs/>
                <w:szCs w:val="24"/>
                <w:highlight w:val="green"/>
              </w:rPr>
            </w:r>
            <w:r>
              <w:rPr>
                <w:bCs/>
                <w:szCs w:val="24"/>
                <w:highlight w:val="green"/>
              </w:rPr>
            </w:r>
          </w:p>
        </w:tc>
        <w:tc>
          <w:tcPr>
            <w:tcW w:w="2302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ind w:firstLine="0"/>
        <w:spacing w:line="276" w:lineRule="auto"/>
        <w:tabs>
          <w:tab w:val="center" w:pos="7285" w:leader="none"/>
        </w:tabs>
      </w:pPr>
      <w:r/>
      <w:r/>
    </w:p>
    <w:p>
      <w:pPr>
        <w:pStyle w:val="807"/>
        <w:sectPr>
          <w:footnotePr/>
          <w:endnotePr/>
          <w:type w:val="nextPage"/>
          <w:pgSz w:w="16838" w:h="11906" w:orient="landscape"/>
          <w:pgMar w:top="426" w:right="1134" w:bottom="850" w:left="1134" w:header="708" w:footer="708" w:gutter="0"/>
          <w:cols w:num="1" w:sep="0" w:space="708" w:equalWidth="1"/>
          <w:docGrid w:linePitch="360"/>
        </w:sectPr>
      </w:pPr>
      <w:r/>
      <w:r/>
    </w:p>
    <w:p>
      <w:pPr>
        <w:pStyle w:val="805"/>
      </w:pPr>
      <w:r/>
      <w:bookmarkStart w:id="33" w:name="_Toc157784556"/>
      <w:r>
        <w:t xml:space="preserve">3. Требования к документации по ценообразованию на этапе закупки</w:t>
      </w:r>
      <w:bookmarkEnd w:id="33"/>
      <w:r/>
      <w:r/>
    </w:p>
    <w:p>
      <w:pPr>
        <w:pStyle w:val="982"/>
        <w:ind w:left="0" w:firstLine="0"/>
        <w:jc w:val="both"/>
        <w:spacing w:after="0" w:afterAutospacing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06"/>
        <w:jc w:val="both"/>
        <w:rPr>
          <w:b w:val="0"/>
        </w:rPr>
      </w:pPr>
      <w:r>
        <w:rPr>
          <w:b w:val="0"/>
        </w:rPr>
        <w:t xml:space="preserve">3.1. В обоснование стоимости своей заявки Участник предоставляет Коммерческое предложение по форме (</w:t>
      </w:r>
      <w:r>
        <w:rPr>
          <w:b w:val="0"/>
        </w:rPr>
        <w:t xml:space="preserve">с учетом прилагаемой к ней инструкции по заполнению), приведенной в Документации о закупке (с указанием понижающего коэффициента участником в расчете цены заявки, размер данного коэффициента рекомендуется учитывать с округлением до 7 знаков после запятой).</w:t>
      </w:r>
      <w:r>
        <w:rPr>
          <w:b w:val="0"/>
        </w:rPr>
      </w:r>
      <w:r>
        <w:rPr>
          <w:b w:val="0"/>
        </w:rPr>
      </w:r>
    </w:p>
    <w:p>
      <w:pPr>
        <w:pStyle w:val="806"/>
        <w:jc w:val="both"/>
        <w:rPr>
          <w:b w:val="0"/>
        </w:rPr>
      </w:pPr>
      <w:r>
        <w:rPr>
          <w:b w:val="0"/>
        </w:rPr>
        <w:t xml:space="preserve">3.2. Дополнительные документы по ценообразованию (сметная документация) в состав заявки Участника не включаются.</w:t>
      </w:r>
      <w:r>
        <w:rPr>
          <w:b w:val="0"/>
        </w:rPr>
      </w:r>
      <w:r>
        <w:rPr>
          <w:b w:val="0"/>
        </w:rPr>
      </w:r>
    </w:p>
    <w:p>
      <w:pPr>
        <w:ind w:firstLine="0"/>
        <w:jc w:val="both"/>
        <w:spacing w:after="0" w:afterAutospacing="0" w:line="259" w:lineRule="auto"/>
      </w:pPr>
      <w:r/>
      <w:r/>
    </w:p>
    <w:p>
      <w:pPr>
        <w:pStyle w:val="805"/>
      </w:pPr>
      <w:r/>
      <w:bookmarkStart w:id="34" w:name="_Toc157419946"/>
      <w:r/>
      <w:bookmarkStart w:id="35" w:name="_Toc157420432"/>
      <w:r/>
      <w:bookmarkStart w:id="36" w:name="_Toc157420897"/>
      <w:r/>
      <w:bookmarkStart w:id="37" w:name="_Toc157784557"/>
      <w:r>
        <w:rPr>
          <w:rStyle w:val="984"/>
          <w:b/>
        </w:rPr>
        <w:t xml:space="preserve">4. Требования к документации по ценообразованию на этапе заключения</w:t>
      </w:r>
      <w:r>
        <w:t xml:space="preserve"> (исполнения) договора</w:t>
      </w:r>
      <w:bookmarkEnd w:id="34"/>
      <w:r/>
      <w:bookmarkEnd w:id="35"/>
      <w:r/>
      <w:bookmarkEnd w:id="36"/>
      <w:r/>
      <w:bookmarkEnd w:id="37"/>
      <w:r/>
      <w:r/>
    </w:p>
    <w:p>
      <w:pPr>
        <w:contextualSpacing/>
        <w:ind w:left="0" w:firstLine="0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06"/>
        <w:ind w:left="0" w:right="0" w:firstLine="709"/>
      </w:pPr>
      <w:r/>
      <w:bookmarkStart w:id="38" w:name="_Toc157784558"/>
      <w:r>
        <w:t xml:space="preserve">4.1. Требования к составлению сметной документации (при заключении договора)</w:t>
      </w:r>
      <w:bookmarkEnd w:id="38"/>
      <w:r/>
      <w:r/>
    </w:p>
    <w:p>
      <w:pPr>
        <w:contextualSpacing/>
        <w:ind w:left="0" w:right="0" w:firstLine="709"/>
        <w:jc w:val="both"/>
        <w:spacing w:after="160" w:line="259" w:lineRule="auto"/>
      </w:pPr>
      <w:r>
        <w:t xml:space="preserve">4.1.1. Сметная документация разработана заказчиком в рамках определения начальной (максимальной) цены договора в соответствии с требован</w:t>
      </w:r>
      <w:r>
        <w:t xml:space="preserve">иями, указанными в Приложении</w:t>
      </w:r>
      <w:r>
        <w:t xml:space="preserve"> № 1 к настоящим ТТ, и включается в состав договор</w:t>
      </w:r>
      <w:r>
        <w:t xml:space="preserve">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локальной смете единым индексом в итогах (после начисления лимитированных затрат до начисления НДС). </w:t>
      </w:r>
      <w:r/>
    </w:p>
    <w:p>
      <w:pPr>
        <w:contextualSpacing/>
        <w:ind w:left="0" w:right="0" w:firstLine="709"/>
        <w:jc w:val="both"/>
        <w:spacing w:after="160" w:line="259" w:lineRule="auto"/>
        <w:rPr>
          <w:highlight w:val="white"/>
        </w:rPr>
      </w:pPr>
      <w:r>
        <w:t xml:space="preserve">4.1.2. Внесение изменений в сметную документацию Заказчика (Приложение № 4 к настоящим ТТ), кроме применения понижающего коэффициента в соответствии с п.</w:t>
      </w:r>
      <w:r>
        <w:t xml:space="preserve"> </w:t>
      </w:r>
      <w:r>
        <w:t xml:space="preserve">4.1.1, не до</w:t>
      </w:r>
      <w:r>
        <w:rPr>
          <w:highlight w:val="white"/>
        </w:rPr>
        <w:t xml:space="preserve">пускается.</w:t>
      </w:r>
      <w:r>
        <w:rPr>
          <w:highlight w:val="white"/>
        </w:rPr>
      </w:r>
      <w:r>
        <w:rPr>
          <w:highlight w:val="white"/>
        </w:rPr>
      </w:r>
    </w:p>
    <w:p>
      <w:pPr>
        <w:contextualSpacing/>
        <w:ind w:left="0" w:right="0" w:firstLine="709"/>
        <w:jc w:val="both"/>
        <w:spacing w:after="160" w:line="259" w:lineRule="auto"/>
        <w:rPr>
          <w:highlight w:val="white"/>
        </w:rPr>
      </w:pPr>
      <w:r>
        <w:rPr>
          <w:highlight w:val="white"/>
        </w:rPr>
        <w:t xml:space="preserve">4.1.3. </w:t>
      </w:r>
      <w:r>
        <w:rPr>
          <w:rFonts w:eastAsia="Tahoma" w:cs="Lohit Devanagari"/>
          <w:sz w:val="23"/>
          <w:szCs w:val="23"/>
          <w:highlight w:val="white"/>
        </w:rPr>
        <w:t xml:space="preserve">В сметной документации предусмотрен резерв средств на непредвиденные работы и затраты в размере </w:t>
      </w:r>
      <w:r>
        <w:rPr>
          <w:rFonts w:eastAsia="Tahoma" w:cs="Lohit Devanagari"/>
          <w:sz w:val="23"/>
          <w:szCs w:val="23"/>
          <w:highlight w:val="white"/>
        </w:rPr>
        <w:t xml:space="preserve">3 </w:t>
      </w:r>
      <w:r>
        <w:rPr>
          <w:rFonts w:eastAsia="Tahoma" w:cs="Lohit Devanagari"/>
          <w:sz w:val="23"/>
          <w:szCs w:val="23"/>
          <w:highlight w:val="white"/>
        </w:rPr>
        <w:t xml:space="preserve">%.</w:t>
      </w:r>
      <w:r>
        <w:rPr>
          <w:highlight w:val="white"/>
        </w:rPr>
      </w:r>
      <w:r>
        <w:rPr>
          <w:highlight w:val="white"/>
        </w:rPr>
      </w:r>
    </w:p>
    <w:p>
      <w:pPr>
        <w:contextualSpacing/>
        <w:ind w:left="360"/>
        <w:jc w:val="both"/>
        <w:spacing w:after="160" w:line="259" w:lineRule="auto"/>
      </w:pPr>
      <w:r>
        <w:br w:type="page" w:clear="all"/>
      </w:r>
      <w:r/>
    </w:p>
    <w:p>
      <w:pPr>
        <w:pStyle w:val="805"/>
      </w:pPr>
      <w:r/>
      <w:bookmarkStart w:id="39" w:name="_Toc54646413"/>
      <w:r/>
      <w:bookmarkStart w:id="40" w:name="_Toc157784559"/>
      <w:r>
        <w:t xml:space="preserve">5. Приложения</w:t>
      </w:r>
      <w:bookmarkEnd w:id="39"/>
      <w:r/>
      <w:bookmarkEnd w:id="40"/>
      <w:r/>
      <w:r/>
    </w:p>
    <w:p>
      <w:pPr>
        <w:ind w:firstLine="0"/>
        <w:spacing w:after="0" w:afterAutospacing="0"/>
        <w:rPr>
          <w:bCs/>
          <w:szCs w:val="24"/>
        </w:rPr>
      </w:pPr>
      <w:r>
        <w:rPr>
          <w:bCs/>
          <w:szCs w:val="24"/>
        </w:rPr>
      </w:r>
      <w:r>
        <w:rPr>
          <w:bCs/>
          <w:szCs w:val="24"/>
        </w:rPr>
      </w:r>
      <w:r>
        <w:rPr>
          <w:bCs/>
          <w:szCs w:val="24"/>
        </w:rPr>
      </w:r>
    </w:p>
    <w:p>
      <w:pPr>
        <w:ind w:left="425" w:right="0" w:firstLine="0"/>
        <w:jc w:val="both"/>
        <w:spacing w:after="120"/>
        <w:rPr>
          <w:bCs/>
          <w:szCs w:val="24"/>
        </w:rPr>
      </w:pPr>
      <w:r>
        <w:rPr>
          <w:bCs/>
          <w:szCs w:val="24"/>
        </w:rPr>
        <w:t xml:space="preserve">Приложение № 1: Требования к оформлению и составлению документации по ценообразованию;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ind w:left="425" w:right="0" w:firstLine="0"/>
        <w:jc w:val="both"/>
        <w:spacing w:after="120"/>
        <w:rPr>
          <w:bCs/>
          <w:szCs w:val="24"/>
        </w:rPr>
      </w:pPr>
      <w:r>
        <w:rPr>
          <w:bCs/>
          <w:szCs w:val="24"/>
        </w:rPr>
        <w:t xml:space="preserve">Приложение № 2: Ведомости объемов работ;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ind w:left="425" w:right="0" w:firstLine="0"/>
        <w:jc w:val="both"/>
        <w:spacing w:after="120"/>
        <w:rPr>
          <w:bCs/>
          <w:szCs w:val="24"/>
        </w:rPr>
      </w:pPr>
      <w:r>
        <w:rPr>
          <w:bCs/>
          <w:szCs w:val="24"/>
        </w:rPr>
        <w:t xml:space="preserve">Приложение № 3: Ведомости материалов, приобретаемых Подрядчиком;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ind w:left="425" w:right="0" w:firstLine="0"/>
        <w:jc w:val="both"/>
        <w:spacing w:after="160"/>
        <w:rPr>
          <w:highlight w:val="none"/>
        </w:rPr>
      </w:pPr>
      <w:r>
        <w:rPr>
          <w:bCs/>
        </w:rPr>
        <w:t xml:space="preserve">Приложение № 4: </w:t>
      </w:r>
      <w:r>
        <w:rPr>
          <w:bCs/>
          <w:szCs w:val="24"/>
        </w:rPr>
        <w:t xml:space="preserve">Локальн</w:t>
      </w:r>
      <w:r>
        <w:rPr>
          <w:bCs/>
          <w:szCs w:val="24"/>
        </w:rPr>
        <w:t xml:space="preserve">ый сметный расчёт</w:t>
      </w:r>
      <w:r>
        <w:rPr>
          <w:bCs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ind w:left="425" w:right="0" w:firstLine="0"/>
        <w:jc w:val="both"/>
        <w:spacing w:after="160"/>
      </w:pPr>
      <w:r>
        <w:rPr>
          <w:bCs/>
          <w:highlight w:val="none"/>
        </w:rPr>
      </w:r>
      <w:r>
        <w:rPr>
          <w:bCs/>
        </w:rPr>
        <w:t xml:space="preserve">Приложение № 5</w:t>
      </w:r>
      <w:r>
        <w:rPr>
          <w:bCs/>
        </w:rPr>
        <w:t xml:space="preserve">: Ведомость материалов предоставляемых Заказчиком;</w:t>
      </w:r>
      <w:r>
        <w:rPr>
          <w:bCs/>
          <w:highlight w:val="none"/>
        </w:rPr>
      </w:r>
      <w:r/>
    </w:p>
    <w:p>
      <w:pPr>
        <w:ind w:left="425" w:right="0" w:firstLine="0"/>
        <w:jc w:val="both"/>
        <w:spacing w:after="160"/>
        <w:rPr>
          <w:bCs/>
          <w:szCs w:val="24"/>
        </w:rPr>
      </w:pPr>
      <w:r>
        <w:rPr>
          <w:bCs/>
        </w:rPr>
        <w:t xml:space="preserve">Приложение № 6: </w:t>
      </w:r>
      <w:r>
        <w:rPr>
          <w:bCs/>
          <w:szCs w:val="24"/>
        </w:rPr>
        <w:t xml:space="preserve">«Положение о допуске персонала подрядных организаций к выполнению работ на объектах АО «ДГК»;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ind w:left="425" w:right="0" w:firstLine="0"/>
        <w:jc w:val="both"/>
        <w:spacing w:after="160"/>
      </w:pPr>
      <w:r>
        <w:rPr>
          <w:szCs w:val="24"/>
        </w:rPr>
        <w:t xml:space="preserve">Приложение № 7:</w:t>
      </w:r>
      <w:r>
        <w:rPr>
          <w:szCs w:val="24"/>
        </w:rPr>
        <w:t xml:space="preserve"> </w:t>
      </w:r>
      <w:r>
        <w:rPr>
          <w:bCs/>
          <w:szCs w:val="24"/>
        </w:rPr>
        <w:t xml:space="preserve">«</w:t>
      </w:r>
      <w:r>
        <w:rPr>
          <w:szCs w:val="24"/>
        </w:rPr>
        <w:t xml:space="preserve">Положение «Об организации контроля и приемке выполненных работ на ремонтируемых объектах, объектах модернизации, реконструкции и технического перевооружения», утвержденное приказом № 555 от 29.11.2019 г. АО «ДГК»</w:t>
      </w:r>
      <w:r>
        <w:rPr>
          <w:bCs/>
          <w:szCs w:val="24"/>
        </w:rPr>
        <w:t xml:space="preserve">»</w:t>
      </w:r>
      <w:r>
        <w:rPr>
          <w:szCs w:val="24"/>
        </w:rPr>
        <w:t xml:space="preserve">.</w:t>
      </w:r>
      <w:r/>
    </w:p>
    <w:sectPr>
      <w:footnotePr/>
      <w:endnotePr/>
      <w:type w:val="nextPage"/>
      <w:pgSz w:w="11906" w:h="16838" w:orient="portrait"/>
      <w:pgMar w:top="1134" w:right="850" w:bottom="113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roid Sans Devanagari">
    <w:panose1 w:val="020B0606030804020204"/>
  </w:font>
  <w:font w:name="Tahoma">
    <w:panose1 w:val="020B0604030504040204"/>
  </w:font>
  <w:font w:name="Wingdings">
    <w:panose1 w:val="05010000000000000000"/>
  </w:font>
  <w:font w:name="Lohit Devanagari">
    <w:panose1 w:val="020B06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665676720"/>
      <w:docPartObj>
        <w:docPartGallery w:val="Page Numbers (Bottom of Page)"/>
        <w:docPartUnique w:val="true"/>
      </w:docPartObj>
      <w:rPr/>
    </w:sdtPr>
    <w:sdtContent>
      <w:p>
        <w:pPr>
          <w:pStyle w:val="99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sz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67" w:hanging="207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07" w:hanging="84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614" w:hanging="84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21" w:hanging="84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i/>
        <w:iCs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482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13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705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207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07" w:hanging="84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614" w:hanging="84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21" w:hanging="84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129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1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3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95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240" w:hanging="180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93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6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2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8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b/>
        <w:bCs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14"/>
  </w:num>
  <w:num w:numId="2">
    <w:abstractNumId w:val="7"/>
  </w:num>
  <w:num w:numId="3">
    <w:abstractNumId w:val="18"/>
  </w:num>
  <w:num w:numId="4">
    <w:abstractNumId w:val="15"/>
  </w:num>
  <w:num w:numId="5">
    <w:abstractNumId w:val="3"/>
  </w:num>
  <w:num w:numId="6">
    <w:abstractNumId w:val="13"/>
  </w:num>
  <w:num w:numId="7">
    <w:abstractNumId w:val="4"/>
  </w:num>
  <w:num w:numId="8">
    <w:abstractNumId w:val="11"/>
  </w:num>
  <w:num w:numId="9">
    <w:abstractNumId w:val="6"/>
  </w:num>
  <w:num w:numId="10">
    <w:abstractNumId w:val="20"/>
  </w:num>
  <w:num w:numId="11">
    <w:abstractNumId w:val="22"/>
  </w:num>
  <w:num w:numId="12">
    <w:abstractNumId w:val="19"/>
  </w:num>
  <w:num w:numId="13">
    <w:abstractNumId w:val="16"/>
  </w:num>
  <w:num w:numId="14">
    <w:abstractNumId w:val="24"/>
  </w:num>
  <w:num w:numId="15">
    <w:abstractNumId w:val="1"/>
  </w:num>
  <w:num w:numId="16">
    <w:abstractNumId w:val="28"/>
  </w:num>
  <w:num w:numId="17">
    <w:abstractNumId w:val="5"/>
  </w:num>
  <w:num w:numId="18">
    <w:abstractNumId w:val="25"/>
  </w:num>
  <w:num w:numId="19">
    <w:abstractNumId w:val="17"/>
  </w:num>
  <w:num w:numId="20">
    <w:abstractNumId w:val="27"/>
  </w:num>
  <w:num w:numId="21">
    <w:abstractNumId w:val="8"/>
  </w:num>
  <w:num w:numId="22">
    <w:abstractNumId w:val="10"/>
  </w:num>
  <w:num w:numId="23">
    <w:abstractNumId w:val="23"/>
  </w:num>
  <w:num w:numId="24">
    <w:abstractNumId w:val="2"/>
  </w:num>
  <w:num w:numId="25">
    <w:abstractNumId w:val="0"/>
  </w:num>
  <w:num w:numId="26">
    <w:abstractNumId w:val="9"/>
  </w:num>
  <w:num w:numId="27">
    <w:abstractNumId w:val="26"/>
  </w:num>
  <w:num w:numId="28">
    <w:abstractNumId w:val="21"/>
  </w:num>
  <w:num w:numId="29">
    <w:abstractNumId w:val="12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04" w:default="1">
    <w:name w:val="Normal"/>
    <w:qFormat/>
    <w:pPr>
      <w:ind w:firstLine="652"/>
      <w:spacing w:after="0" w:line="276" w:lineRule="auto"/>
    </w:pPr>
    <w:rPr>
      <w:rFonts w:ascii="Times New Roman" w:hAnsi="Times New Roman" w:eastAsia="Times New Roman" w:cs="Times New Roman"/>
      <w:sz w:val="24"/>
      <w:szCs w:val="28"/>
      <w:lang w:eastAsia="ru-RU"/>
    </w:rPr>
  </w:style>
  <w:style w:type="paragraph" w:styleId="805">
    <w:name w:val="Heading 1"/>
    <w:basedOn w:val="807"/>
    <w:next w:val="804"/>
    <w:link w:val="984"/>
    <w:qFormat/>
    <w:pPr>
      <w:ind w:firstLine="0"/>
      <w:outlineLvl w:val="0"/>
    </w:pPr>
    <w:rPr>
      <w:b/>
      <w:sz w:val="28"/>
      <w:szCs w:val="28"/>
    </w:rPr>
  </w:style>
  <w:style w:type="paragraph" w:styleId="806">
    <w:name w:val="Heading 2"/>
    <w:basedOn w:val="804"/>
    <w:next w:val="804"/>
    <w:link w:val="1008"/>
    <w:uiPriority w:val="9"/>
    <w:unhideWhenUsed/>
    <w:qFormat/>
    <w:pPr>
      <w:keepLines/>
      <w:keepNext/>
      <w:spacing w:before="40"/>
      <w:outlineLvl w:val="1"/>
    </w:pPr>
    <w:rPr>
      <w:rFonts w:eastAsiaTheme="majorEastAsia" w:cstheme="majorBidi"/>
      <w:b/>
      <w:szCs w:val="26"/>
    </w:rPr>
  </w:style>
  <w:style w:type="paragraph" w:styleId="807">
    <w:name w:val="Heading 3"/>
    <w:basedOn w:val="804"/>
    <w:next w:val="804"/>
    <w:link w:val="985"/>
    <w:qFormat/>
    <w:pPr>
      <w:ind w:firstLine="709"/>
      <w:keepNext/>
      <w:spacing w:before="120" w:after="60"/>
      <w:outlineLvl w:val="2"/>
    </w:pPr>
    <w:rPr>
      <w:rFonts w:eastAsia="Calibri"/>
      <w:szCs w:val="24"/>
    </w:rPr>
  </w:style>
  <w:style w:type="paragraph" w:styleId="808">
    <w:name w:val="Heading 4"/>
    <w:basedOn w:val="807"/>
    <w:next w:val="804"/>
    <w:link w:val="986"/>
    <w:qFormat/>
    <w:pPr>
      <w:numPr>
        <w:ilvl w:val="1"/>
      </w:numPr>
      <w:ind w:firstLine="709"/>
      <w:outlineLvl w:val="3"/>
    </w:pPr>
    <w:rPr>
      <w:bCs/>
    </w:rPr>
  </w:style>
  <w:style w:type="paragraph" w:styleId="809">
    <w:name w:val="Heading 5"/>
    <w:basedOn w:val="804"/>
    <w:next w:val="804"/>
    <w:link w:val="83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810">
    <w:name w:val="Heading 6"/>
    <w:basedOn w:val="804"/>
    <w:next w:val="804"/>
    <w:link w:val="83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11">
    <w:name w:val="Heading 7"/>
    <w:basedOn w:val="804"/>
    <w:next w:val="804"/>
    <w:link w:val="83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12">
    <w:name w:val="Heading 8"/>
    <w:basedOn w:val="804"/>
    <w:next w:val="804"/>
    <w:link w:val="83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13">
    <w:name w:val="Heading 9"/>
    <w:basedOn w:val="804"/>
    <w:next w:val="804"/>
    <w:link w:val="83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14" w:default="1">
    <w:name w:val="Default Paragraph Font"/>
    <w:uiPriority w:val="1"/>
    <w:semiHidden/>
    <w:unhideWhenUsed/>
  </w:style>
  <w:style w:type="table" w:styleId="81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6" w:default="1">
    <w:name w:val="No List"/>
    <w:uiPriority w:val="99"/>
    <w:semiHidden/>
    <w:unhideWhenUsed/>
  </w:style>
  <w:style w:type="character" w:styleId="817" w:customStyle="1">
    <w:name w:val="Heading 5 Char"/>
    <w:basedOn w:val="814"/>
    <w:uiPriority w:val="9"/>
    <w:rPr>
      <w:rFonts w:ascii="Arial" w:hAnsi="Arial" w:eastAsia="Arial" w:cs="Arial"/>
      <w:b/>
      <w:bCs/>
      <w:sz w:val="24"/>
      <w:szCs w:val="24"/>
    </w:rPr>
  </w:style>
  <w:style w:type="character" w:styleId="818" w:customStyle="1">
    <w:name w:val="Heading 6 Char"/>
    <w:basedOn w:val="814"/>
    <w:uiPriority w:val="9"/>
    <w:rPr>
      <w:rFonts w:ascii="Arial" w:hAnsi="Arial" w:eastAsia="Arial" w:cs="Arial"/>
      <w:b/>
      <w:bCs/>
      <w:sz w:val="22"/>
      <w:szCs w:val="22"/>
    </w:rPr>
  </w:style>
  <w:style w:type="character" w:styleId="819" w:customStyle="1">
    <w:name w:val="Heading 7 Char"/>
    <w:basedOn w:val="8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0" w:customStyle="1">
    <w:name w:val="Heading 8 Char"/>
    <w:basedOn w:val="814"/>
    <w:uiPriority w:val="9"/>
    <w:rPr>
      <w:rFonts w:ascii="Arial" w:hAnsi="Arial" w:eastAsia="Arial" w:cs="Arial"/>
      <w:i/>
      <w:iCs/>
      <w:sz w:val="22"/>
      <w:szCs w:val="22"/>
    </w:rPr>
  </w:style>
  <w:style w:type="character" w:styleId="821" w:customStyle="1">
    <w:name w:val="Heading 9 Char"/>
    <w:basedOn w:val="814"/>
    <w:uiPriority w:val="9"/>
    <w:rPr>
      <w:rFonts w:ascii="Arial" w:hAnsi="Arial" w:eastAsia="Arial" w:cs="Arial"/>
      <w:i/>
      <w:iCs/>
      <w:sz w:val="21"/>
      <w:szCs w:val="21"/>
    </w:rPr>
  </w:style>
  <w:style w:type="character" w:styleId="822" w:customStyle="1">
    <w:name w:val="Title Char"/>
    <w:basedOn w:val="814"/>
    <w:uiPriority w:val="10"/>
    <w:rPr>
      <w:sz w:val="48"/>
      <w:szCs w:val="48"/>
    </w:rPr>
  </w:style>
  <w:style w:type="character" w:styleId="823" w:customStyle="1">
    <w:name w:val="Subtitle Char"/>
    <w:basedOn w:val="814"/>
    <w:uiPriority w:val="11"/>
    <w:rPr>
      <w:sz w:val="24"/>
      <w:szCs w:val="24"/>
    </w:rPr>
  </w:style>
  <w:style w:type="character" w:styleId="824" w:customStyle="1">
    <w:name w:val="Quote Char"/>
    <w:uiPriority w:val="29"/>
    <w:rPr>
      <w:i/>
    </w:rPr>
  </w:style>
  <w:style w:type="character" w:styleId="825" w:customStyle="1">
    <w:name w:val="Intense Quote Char"/>
    <w:uiPriority w:val="30"/>
    <w:rPr>
      <w:i/>
    </w:rPr>
  </w:style>
  <w:style w:type="character" w:styleId="826" w:customStyle="1">
    <w:name w:val="Footnote Text Char"/>
    <w:uiPriority w:val="99"/>
    <w:rPr>
      <w:sz w:val="18"/>
    </w:rPr>
  </w:style>
  <w:style w:type="character" w:styleId="827" w:customStyle="1">
    <w:name w:val="Endnote Text Char"/>
    <w:uiPriority w:val="99"/>
    <w:rPr>
      <w:sz w:val="20"/>
    </w:rPr>
  </w:style>
  <w:style w:type="character" w:styleId="828" w:customStyle="1">
    <w:name w:val="Heading 1 Char"/>
    <w:basedOn w:val="814"/>
    <w:uiPriority w:val="9"/>
    <w:rPr>
      <w:rFonts w:ascii="Arial" w:hAnsi="Arial" w:eastAsia="Arial" w:cs="Arial"/>
      <w:sz w:val="40"/>
      <w:szCs w:val="40"/>
    </w:rPr>
  </w:style>
  <w:style w:type="character" w:styleId="829" w:customStyle="1">
    <w:name w:val="Heading 2 Char"/>
    <w:basedOn w:val="814"/>
    <w:uiPriority w:val="9"/>
    <w:rPr>
      <w:rFonts w:ascii="Arial" w:hAnsi="Arial" w:eastAsia="Arial" w:cs="Arial"/>
      <w:sz w:val="34"/>
    </w:rPr>
  </w:style>
  <w:style w:type="character" w:styleId="830" w:customStyle="1">
    <w:name w:val="Heading 3 Char"/>
    <w:basedOn w:val="814"/>
    <w:uiPriority w:val="9"/>
    <w:rPr>
      <w:rFonts w:ascii="Arial" w:hAnsi="Arial" w:eastAsia="Arial" w:cs="Arial"/>
      <w:sz w:val="30"/>
      <w:szCs w:val="30"/>
    </w:rPr>
  </w:style>
  <w:style w:type="character" w:styleId="831" w:customStyle="1">
    <w:name w:val="Heading 4 Char"/>
    <w:basedOn w:val="814"/>
    <w:uiPriority w:val="9"/>
    <w:rPr>
      <w:rFonts w:ascii="Arial" w:hAnsi="Arial" w:eastAsia="Arial" w:cs="Arial"/>
      <w:b/>
      <w:bCs/>
      <w:sz w:val="26"/>
      <w:szCs w:val="26"/>
    </w:rPr>
  </w:style>
  <w:style w:type="character" w:styleId="832" w:customStyle="1">
    <w:name w:val="Заголовок 5 Знак"/>
    <w:basedOn w:val="814"/>
    <w:link w:val="809"/>
    <w:uiPriority w:val="9"/>
    <w:rPr>
      <w:rFonts w:ascii="Arial" w:hAnsi="Arial" w:eastAsia="Arial" w:cs="Arial"/>
      <w:b/>
      <w:bCs/>
      <w:sz w:val="24"/>
      <w:szCs w:val="24"/>
    </w:rPr>
  </w:style>
  <w:style w:type="character" w:styleId="833" w:customStyle="1">
    <w:name w:val="Заголовок 6 Знак"/>
    <w:basedOn w:val="814"/>
    <w:link w:val="810"/>
    <w:uiPriority w:val="9"/>
    <w:rPr>
      <w:rFonts w:ascii="Arial" w:hAnsi="Arial" w:eastAsia="Arial" w:cs="Arial"/>
      <w:b/>
      <w:bCs/>
      <w:sz w:val="22"/>
      <w:szCs w:val="22"/>
    </w:rPr>
  </w:style>
  <w:style w:type="character" w:styleId="834" w:customStyle="1">
    <w:name w:val="Заголовок 7 Знак"/>
    <w:basedOn w:val="814"/>
    <w:link w:val="81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5" w:customStyle="1">
    <w:name w:val="Заголовок 8 Знак"/>
    <w:basedOn w:val="814"/>
    <w:link w:val="812"/>
    <w:uiPriority w:val="9"/>
    <w:rPr>
      <w:rFonts w:ascii="Arial" w:hAnsi="Arial" w:eastAsia="Arial" w:cs="Arial"/>
      <w:i/>
      <w:iCs/>
      <w:sz w:val="22"/>
      <w:szCs w:val="22"/>
    </w:rPr>
  </w:style>
  <w:style w:type="character" w:styleId="836" w:customStyle="1">
    <w:name w:val="Заголовок 9 Знак"/>
    <w:basedOn w:val="814"/>
    <w:link w:val="813"/>
    <w:uiPriority w:val="9"/>
    <w:rPr>
      <w:rFonts w:ascii="Arial" w:hAnsi="Arial" w:eastAsia="Arial" w:cs="Arial"/>
      <w:i/>
      <w:iCs/>
      <w:sz w:val="21"/>
      <w:szCs w:val="21"/>
    </w:rPr>
  </w:style>
  <w:style w:type="paragraph" w:styleId="837">
    <w:name w:val="No Spacing"/>
    <w:uiPriority w:val="1"/>
    <w:qFormat/>
    <w:pPr>
      <w:spacing w:after="0" w:line="240" w:lineRule="auto"/>
    </w:pPr>
  </w:style>
  <w:style w:type="paragraph" w:styleId="838">
    <w:name w:val="Title"/>
    <w:basedOn w:val="804"/>
    <w:next w:val="804"/>
    <w:link w:val="83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39" w:customStyle="1">
    <w:name w:val="Название Знак"/>
    <w:basedOn w:val="814"/>
    <w:link w:val="838"/>
    <w:uiPriority w:val="10"/>
    <w:rPr>
      <w:sz w:val="48"/>
      <w:szCs w:val="48"/>
    </w:rPr>
  </w:style>
  <w:style w:type="paragraph" w:styleId="840">
    <w:name w:val="Subtitle"/>
    <w:basedOn w:val="804"/>
    <w:next w:val="804"/>
    <w:link w:val="841"/>
    <w:uiPriority w:val="11"/>
    <w:qFormat/>
    <w:pPr>
      <w:spacing w:before="200" w:after="200"/>
    </w:pPr>
    <w:rPr>
      <w:szCs w:val="24"/>
    </w:rPr>
  </w:style>
  <w:style w:type="character" w:styleId="841" w:customStyle="1">
    <w:name w:val="Подзаголовок Знак"/>
    <w:basedOn w:val="814"/>
    <w:link w:val="840"/>
    <w:uiPriority w:val="11"/>
    <w:rPr>
      <w:sz w:val="24"/>
      <w:szCs w:val="24"/>
    </w:rPr>
  </w:style>
  <w:style w:type="paragraph" w:styleId="842">
    <w:name w:val="Quote"/>
    <w:basedOn w:val="804"/>
    <w:next w:val="804"/>
    <w:link w:val="843"/>
    <w:uiPriority w:val="29"/>
    <w:qFormat/>
    <w:pPr>
      <w:ind w:left="720" w:right="720"/>
    </w:pPr>
    <w:rPr>
      <w:i/>
    </w:rPr>
  </w:style>
  <w:style w:type="character" w:styleId="843" w:customStyle="1">
    <w:name w:val="Цитата 2 Знак"/>
    <w:link w:val="842"/>
    <w:uiPriority w:val="29"/>
    <w:rPr>
      <w:i/>
    </w:rPr>
  </w:style>
  <w:style w:type="paragraph" w:styleId="844">
    <w:name w:val="Intense Quote"/>
    <w:basedOn w:val="804"/>
    <w:next w:val="804"/>
    <w:link w:val="84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5" w:customStyle="1">
    <w:name w:val="Выделенная цитата Знак"/>
    <w:link w:val="844"/>
    <w:uiPriority w:val="30"/>
    <w:rPr>
      <w:i/>
    </w:rPr>
  </w:style>
  <w:style w:type="character" w:styleId="846" w:customStyle="1">
    <w:name w:val="Header Char"/>
    <w:basedOn w:val="814"/>
    <w:uiPriority w:val="99"/>
  </w:style>
  <w:style w:type="character" w:styleId="847" w:customStyle="1">
    <w:name w:val="Footer Char"/>
    <w:basedOn w:val="814"/>
    <w:uiPriority w:val="99"/>
  </w:style>
  <w:style w:type="paragraph" w:styleId="848">
    <w:name w:val="Caption"/>
    <w:basedOn w:val="804"/>
    <w:next w:val="804"/>
    <w:link w:val="849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849" w:customStyle="1">
    <w:name w:val="Caption Char"/>
    <w:uiPriority w:val="99"/>
  </w:style>
  <w:style w:type="table" w:styleId="850" w:customStyle="1">
    <w:name w:val="Table Grid Light"/>
    <w:basedOn w:val="815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1" w:customStyle="1">
    <w:name w:val="Plain Table 1"/>
    <w:basedOn w:val="815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2" w:customStyle="1">
    <w:name w:val="Plain Table 2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3" w:customStyle="1">
    <w:name w:val="Plain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4" w:customStyle="1">
    <w:name w:val="Plain Table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Plain Table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1 Light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Grid Table 1 Light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Grid Table 1 Light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Grid Table 1 Light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Grid Table 1 Light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Grid Table 1 Light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Grid Table 1 Light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Grid Table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Grid Table 2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Grid Table 2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Grid Table 2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Grid Table 2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Grid Table 2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Grid Table 2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Grid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Grid Table 3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Grid Table 3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Grid Table 3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Grid Table 3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Grid Table 3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Grid Table 3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4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78" w:customStyle="1">
    <w:name w:val="Grid Table 4 - Accent 1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79" w:customStyle="1">
    <w:name w:val="Grid Table 4 - Accent 2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80" w:customStyle="1">
    <w:name w:val="Grid Table 4 - Accent 3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81" w:customStyle="1">
    <w:name w:val="Grid Table 4 - Accent 4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82" w:customStyle="1">
    <w:name w:val="Grid Table 4 - Accent 5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83" w:customStyle="1">
    <w:name w:val="Grid Table 4 - Accent 6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84" w:customStyle="1">
    <w:name w:val="Grid Table 5 Dark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85" w:customStyle="1">
    <w:name w:val="Grid Table 5 Dark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86" w:customStyle="1">
    <w:name w:val="Grid Table 5 Dark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87" w:customStyle="1">
    <w:name w:val="Grid Table 5 Dark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88" w:customStyle="1">
    <w:name w:val="Grid Table 5 Dark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89" w:customStyle="1">
    <w:name w:val="Grid Table 5 Dark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90" w:customStyle="1">
    <w:name w:val="Grid Table 5 Dark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91" w:customStyle="1">
    <w:name w:val="Grid Table 6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92" w:customStyle="1">
    <w:name w:val="Grid Table 6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93" w:customStyle="1">
    <w:name w:val="Grid Table 6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94" w:customStyle="1">
    <w:name w:val="Grid Table 6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95" w:customStyle="1">
    <w:name w:val="Grid Table 6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96" w:customStyle="1">
    <w:name w:val="Grid Table 6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97" w:customStyle="1">
    <w:name w:val="Grid Table 6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98" w:customStyle="1">
    <w:name w:val="Grid Table 7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9" w:customStyle="1">
    <w:name w:val="Grid Table 7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0" w:customStyle="1">
    <w:name w:val="Grid Table 7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1" w:customStyle="1">
    <w:name w:val="Grid Table 7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2" w:customStyle="1">
    <w:name w:val="Grid Table 7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3" w:customStyle="1">
    <w:name w:val="Grid Table 7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4" w:customStyle="1">
    <w:name w:val="Grid Table 7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5" w:customStyle="1">
    <w:name w:val="List Table 1 Light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List Table 1 Light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List Table 1 Light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List Table 1 Light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List Table 1 Light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 w:customStyle="1">
    <w:name w:val="List Table 1 Light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List Table 1 Light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List Table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13" w:customStyle="1">
    <w:name w:val="List Table 2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914" w:customStyle="1">
    <w:name w:val="List Table 2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15" w:customStyle="1">
    <w:name w:val="List Table 2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16" w:customStyle="1">
    <w:name w:val="List Table 2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17" w:customStyle="1">
    <w:name w:val="List Table 2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918" w:customStyle="1">
    <w:name w:val="List Table 2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19" w:customStyle="1">
    <w:name w:val="List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 w:customStyle="1">
    <w:name w:val="List Table 3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 w:customStyle="1">
    <w:name w:val="List Table 3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 w:customStyle="1">
    <w:name w:val="List Table 3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 w:customStyle="1">
    <w:name w:val="List Table 3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 w:customStyle="1">
    <w:name w:val="List Table 3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 w:customStyle="1">
    <w:name w:val="List Table 3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 w:customStyle="1">
    <w:name w:val="List Table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 w:customStyle="1">
    <w:name w:val="List Table 4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 w:customStyle="1">
    <w:name w:val="List Table 4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 w:customStyle="1">
    <w:name w:val="List Table 4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 w:customStyle="1">
    <w:name w:val="List Table 4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 w:customStyle="1">
    <w:name w:val="List Table 4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 w:customStyle="1">
    <w:name w:val="List Table 4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 w:customStyle="1">
    <w:name w:val="List Table 5 Dark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4" w:customStyle="1">
    <w:name w:val="List Table 5 Dark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5" w:customStyle="1">
    <w:name w:val="List Table 5 Dark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6" w:customStyle="1">
    <w:name w:val="List Table 5 Dark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7" w:customStyle="1">
    <w:name w:val="List Table 5 Dark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8" w:customStyle="1">
    <w:name w:val="List Table 5 Dark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9" w:customStyle="1">
    <w:name w:val="List Table 5 Dark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0" w:customStyle="1">
    <w:name w:val="List Table 6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41" w:customStyle="1">
    <w:name w:val="List Table 6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42" w:customStyle="1">
    <w:name w:val="List Table 6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43" w:customStyle="1">
    <w:name w:val="List Table 6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44" w:customStyle="1">
    <w:name w:val="List Table 6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45" w:customStyle="1">
    <w:name w:val="List Table 6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946" w:customStyle="1">
    <w:name w:val="List Table 6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47" w:customStyle="1">
    <w:name w:val="List Table 7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8" w:customStyle="1">
    <w:name w:val="List Table 7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9" w:customStyle="1">
    <w:name w:val="List Table 7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50" w:customStyle="1">
    <w:name w:val="List Table 7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51" w:customStyle="1">
    <w:name w:val="List Table 7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52" w:customStyle="1">
    <w:name w:val="List Table 7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53" w:customStyle="1">
    <w:name w:val="List Table 7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54" w:customStyle="1">
    <w:name w:val="Lined - Accent"/>
    <w:basedOn w:val="8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55" w:customStyle="1">
    <w:name w:val="Lined - Accent 1"/>
    <w:basedOn w:val="8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56" w:customStyle="1">
    <w:name w:val="Lined - Accent 2"/>
    <w:basedOn w:val="8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57" w:customStyle="1">
    <w:name w:val="Lined - Accent 3"/>
    <w:basedOn w:val="8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58" w:customStyle="1">
    <w:name w:val="Lined - Accent 4"/>
    <w:basedOn w:val="8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59" w:customStyle="1">
    <w:name w:val="Lined - Accent 5"/>
    <w:basedOn w:val="8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60" w:customStyle="1">
    <w:name w:val="Lined - Accent 6"/>
    <w:basedOn w:val="8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61" w:customStyle="1">
    <w:name w:val="Bordered &amp; Lined - Accent"/>
    <w:basedOn w:val="8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62" w:customStyle="1">
    <w:name w:val="Bordered &amp; Lined - Accent 1"/>
    <w:basedOn w:val="8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63" w:customStyle="1">
    <w:name w:val="Bordered &amp; Lined - Accent 2"/>
    <w:basedOn w:val="8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64" w:customStyle="1">
    <w:name w:val="Bordered &amp; Lined - Accent 3"/>
    <w:basedOn w:val="8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65" w:customStyle="1">
    <w:name w:val="Bordered &amp; Lined - Accent 4"/>
    <w:basedOn w:val="8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66" w:customStyle="1">
    <w:name w:val="Bordered &amp; Lined - Accent 5"/>
    <w:basedOn w:val="8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67" w:customStyle="1">
    <w:name w:val="Bordered &amp; Lined - Accent 6"/>
    <w:basedOn w:val="8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68" w:customStyle="1">
    <w:name w:val="Bordered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69" w:customStyle="1">
    <w:name w:val="Bordered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70" w:customStyle="1">
    <w:name w:val="Bordered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71" w:customStyle="1">
    <w:name w:val="Bordered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72" w:customStyle="1">
    <w:name w:val="Bordered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73" w:customStyle="1">
    <w:name w:val="Bordered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74" w:customStyle="1">
    <w:name w:val="Bordered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975">
    <w:name w:val="footnote text"/>
    <w:basedOn w:val="804"/>
    <w:link w:val="976"/>
    <w:uiPriority w:val="99"/>
    <w:semiHidden/>
    <w:unhideWhenUsed/>
    <w:pPr>
      <w:spacing w:after="40" w:line="240" w:lineRule="auto"/>
    </w:pPr>
    <w:rPr>
      <w:sz w:val="18"/>
    </w:rPr>
  </w:style>
  <w:style w:type="character" w:styleId="976" w:customStyle="1">
    <w:name w:val="Текст сноски Знак"/>
    <w:link w:val="975"/>
    <w:uiPriority w:val="99"/>
    <w:rPr>
      <w:sz w:val="18"/>
    </w:rPr>
  </w:style>
  <w:style w:type="character" w:styleId="977">
    <w:name w:val="footnote reference"/>
    <w:basedOn w:val="814"/>
    <w:uiPriority w:val="99"/>
    <w:unhideWhenUsed/>
    <w:rPr>
      <w:vertAlign w:val="superscript"/>
    </w:rPr>
  </w:style>
  <w:style w:type="paragraph" w:styleId="978">
    <w:name w:val="endnote text"/>
    <w:basedOn w:val="804"/>
    <w:link w:val="979"/>
    <w:uiPriority w:val="99"/>
    <w:semiHidden/>
    <w:unhideWhenUsed/>
    <w:pPr>
      <w:spacing w:line="240" w:lineRule="auto"/>
    </w:pPr>
    <w:rPr>
      <w:sz w:val="20"/>
    </w:rPr>
  </w:style>
  <w:style w:type="character" w:styleId="979" w:customStyle="1">
    <w:name w:val="Текст концевой сноски Знак"/>
    <w:link w:val="978"/>
    <w:uiPriority w:val="99"/>
    <w:rPr>
      <w:sz w:val="20"/>
    </w:rPr>
  </w:style>
  <w:style w:type="character" w:styleId="980">
    <w:name w:val="endnote reference"/>
    <w:basedOn w:val="814"/>
    <w:uiPriority w:val="99"/>
    <w:semiHidden/>
    <w:unhideWhenUsed/>
    <w:rPr>
      <w:vertAlign w:val="superscript"/>
    </w:rPr>
  </w:style>
  <w:style w:type="paragraph" w:styleId="981">
    <w:name w:val="table of figures"/>
    <w:basedOn w:val="804"/>
    <w:next w:val="804"/>
    <w:uiPriority w:val="99"/>
    <w:unhideWhenUsed/>
  </w:style>
  <w:style w:type="paragraph" w:styleId="982">
    <w:name w:val="List Paragraph"/>
    <w:basedOn w:val="804"/>
    <w:link w:val="983"/>
    <w:qFormat/>
    <w:pPr>
      <w:contextualSpacing/>
      <w:ind w:left="720"/>
    </w:pPr>
  </w:style>
  <w:style w:type="character" w:styleId="983" w:customStyle="1">
    <w:name w:val="Абзац списка Знак"/>
    <w:link w:val="982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984" w:customStyle="1">
    <w:name w:val="Заголовок 1 Знак"/>
    <w:basedOn w:val="814"/>
    <w:link w:val="805"/>
    <w:rPr>
      <w:rFonts w:ascii="Times New Roman" w:hAnsi="Times New Roman" w:eastAsia="Calibri" w:cs="Times New Roman"/>
      <w:b/>
      <w:sz w:val="28"/>
      <w:szCs w:val="28"/>
    </w:rPr>
  </w:style>
  <w:style w:type="character" w:styleId="985" w:customStyle="1">
    <w:name w:val="Заголовок 3 Знак"/>
    <w:basedOn w:val="814"/>
    <w:link w:val="807"/>
    <w:rPr>
      <w:rFonts w:ascii="Times New Roman" w:hAnsi="Times New Roman" w:eastAsia="Calibri" w:cs="Times New Roman"/>
      <w:sz w:val="24"/>
      <w:szCs w:val="24"/>
    </w:rPr>
  </w:style>
  <w:style w:type="character" w:styleId="986" w:customStyle="1">
    <w:name w:val="Заголовок 4 Знак"/>
    <w:basedOn w:val="814"/>
    <w:link w:val="808"/>
    <w:rPr>
      <w:rFonts w:ascii="Times New Roman" w:hAnsi="Times New Roman" w:eastAsia="Calibri" w:cs="Times New Roman"/>
      <w:b/>
      <w:bCs/>
      <w:sz w:val="24"/>
      <w:szCs w:val="24"/>
    </w:rPr>
  </w:style>
  <w:style w:type="character" w:styleId="987" w:customStyle="1">
    <w:name w:val="комментарий"/>
    <w:rPr>
      <w:b/>
      <w:i/>
      <w:shd w:val="clear" w:color="auto" w:fill="ffff99"/>
    </w:rPr>
  </w:style>
  <w:style w:type="table" w:styleId="988">
    <w:name w:val="Table Grid"/>
    <w:basedOn w:val="815"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89">
    <w:name w:val="toc 1"/>
    <w:basedOn w:val="804"/>
    <w:next w:val="804"/>
    <w:uiPriority w:val="39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990">
    <w:name w:val="toc 3"/>
    <w:basedOn w:val="804"/>
    <w:next w:val="804"/>
    <w:uiPriority w:val="39"/>
    <w:pPr>
      <w:ind w:left="480"/>
    </w:pPr>
    <w:rPr>
      <w:rFonts w:asciiTheme="minorHAnsi" w:hAnsiTheme="minorHAnsi"/>
      <w:sz w:val="20"/>
      <w:szCs w:val="20"/>
    </w:rPr>
  </w:style>
  <w:style w:type="character" w:styleId="991">
    <w:name w:val="Hyperlink"/>
    <w:uiPriority w:val="99"/>
    <w:rPr>
      <w:color w:val="0000ff"/>
      <w:u w:val="single"/>
    </w:rPr>
  </w:style>
  <w:style w:type="paragraph" w:styleId="992">
    <w:name w:val="toc 4"/>
    <w:basedOn w:val="804"/>
    <w:next w:val="804"/>
    <w:uiPriority w:val="39"/>
    <w:pPr>
      <w:ind w:left="720"/>
    </w:pPr>
    <w:rPr>
      <w:rFonts w:asciiTheme="minorHAnsi" w:hAnsiTheme="minorHAnsi"/>
      <w:sz w:val="20"/>
      <w:szCs w:val="20"/>
    </w:rPr>
  </w:style>
  <w:style w:type="paragraph" w:styleId="993">
    <w:name w:val="Header"/>
    <w:basedOn w:val="804"/>
    <w:link w:val="99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94" w:customStyle="1">
    <w:name w:val="Верхний колонтитул Знак"/>
    <w:basedOn w:val="814"/>
    <w:link w:val="993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95">
    <w:name w:val="Footer"/>
    <w:basedOn w:val="804"/>
    <w:link w:val="99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96" w:customStyle="1">
    <w:name w:val="Нижний колонтитул Знак"/>
    <w:basedOn w:val="814"/>
    <w:link w:val="995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97" w:customStyle="1">
    <w:name w:val="Таблица шапка"/>
    <w:basedOn w:val="804"/>
    <w:pPr>
      <w:ind w:left="57" w:right="57"/>
      <w:keepNext/>
      <w:spacing w:before="40" w:after="40"/>
    </w:pPr>
    <w:rPr>
      <w:sz w:val="22"/>
      <w:szCs w:val="26"/>
    </w:rPr>
  </w:style>
  <w:style w:type="paragraph" w:styleId="998">
    <w:name w:val="annotation text"/>
    <w:basedOn w:val="804"/>
    <w:link w:val="999"/>
    <w:rPr>
      <w:sz w:val="20"/>
      <w:szCs w:val="20"/>
    </w:rPr>
  </w:style>
  <w:style w:type="character" w:styleId="999" w:customStyle="1">
    <w:name w:val="Текст примечания Знак"/>
    <w:basedOn w:val="814"/>
    <w:link w:val="998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00" w:customStyle="1">
    <w:name w:val="Таблица"/>
    <w:basedOn w:val="804"/>
    <w:qFormat/>
    <w:pPr>
      <w:jc w:val="center"/>
      <w:keepNext/>
      <w:spacing w:before="60" w:after="60"/>
    </w:pPr>
    <w:rPr>
      <w:rFonts w:eastAsia="Calibri"/>
      <w:b/>
      <w:szCs w:val="24"/>
    </w:rPr>
  </w:style>
  <w:style w:type="table" w:styleId="1001" w:customStyle="1">
    <w:name w:val="Сетка таблицы1"/>
    <w:basedOn w:val="815"/>
    <w:next w:val="988"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1002">
    <w:name w:val="annotation reference"/>
    <w:basedOn w:val="814"/>
    <w:uiPriority w:val="99"/>
    <w:semiHidden/>
    <w:unhideWhenUsed/>
    <w:rPr>
      <w:sz w:val="16"/>
      <w:szCs w:val="16"/>
    </w:rPr>
  </w:style>
  <w:style w:type="paragraph" w:styleId="1003">
    <w:name w:val="Balloon Text"/>
    <w:basedOn w:val="804"/>
    <w:link w:val="1004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1004" w:customStyle="1">
    <w:name w:val="Текст выноски Знак"/>
    <w:basedOn w:val="814"/>
    <w:link w:val="1003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paragraph" w:styleId="1005">
    <w:name w:val="annotation subject"/>
    <w:basedOn w:val="998"/>
    <w:next w:val="998"/>
    <w:link w:val="1006"/>
    <w:uiPriority w:val="99"/>
    <w:semiHidden/>
    <w:unhideWhenUsed/>
    <w:rPr>
      <w:b/>
      <w:bCs/>
    </w:rPr>
  </w:style>
  <w:style w:type="character" w:styleId="1006" w:customStyle="1">
    <w:name w:val="Тема примечания Знак"/>
    <w:basedOn w:val="999"/>
    <w:link w:val="1005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007">
    <w:name w:val="TOC Heading"/>
    <w:basedOn w:val="805"/>
    <w:next w:val="804"/>
    <w:uiPriority w:val="39"/>
    <w:unhideWhenUsed/>
    <w:qFormat/>
    <w:pPr>
      <w:keepLines/>
      <w:spacing w:before="240" w:after="0" w:line="259" w:lineRule="auto"/>
      <w:outlineLvl w:val="9"/>
    </w:pPr>
    <w:rPr>
      <w:rFonts w:asciiTheme="majorHAnsi" w:hAnsiTheme="majorHAnsi" w:eastAsiaTheme="majorEastAsia" w:cstheme="majorBidi"/>
      <w:b w:val="0"/>
      <w:color w:val="2e74b5" w:themeColor="accent1" w:themeShade="BF"/>
      <w:sz w:val="32"/>
      <w:szCs w:val="32"/>
    </w:rPr>
  </w:style>
  <w:style w:type="character" w:styleId="1008" w:customStyle="1">
    <w:name w:val="Заголовок 2 Знак"/>
    <w:basedOn w:val="814"/>
    <w:link w:val="806"/>
    <w:uiPriority w:val="9"/>
    <w:rPr>
      <w:rFonts w:ascii="Times New Roman" w:hAnsi="Times New Roman" w:eastAsiaTheme="majorEastAsia" w:cstheme="majorBidi"/>
      <w:b/>
      <w:sz w:val="24"/>
      <w:szCs w:val="26"/>
      <w:lang w:eastAsia="ru-RU"/>
    </w:rPr>
  </w:style>
  <w:style w:type="paragraph" w:styleId="1009">
    <w:name w:val="toc 2"/>
    <w:basedOn w:val="804"/>
    <w:next w:val="804"/>
    <w:uiPriority w:val="39"/>
    <w:unhideWhenUsed/>
    <w:pPr>
      <w:ind w:left="240"/>
      <w:spacing w:before="120"/>
    </w:pPr>
    <w:rPr>
      <w:rFonts w:asciiTheme="minorHAnsi" w:hAnsiTheme="minorHAnsi"/>
      <w:i/>
      <w:iCs/>
      <w:sz w:val="20"/>
      <w:szCs w:val="20"/>
    </w:rPr>
  </w:style>
  <w:style w:type="paragraph" w:styleId="1010">
    <w:name w:val="toc 5"/>
    <w:basedOn w:val="804"/>
    <w:next w:val="804"/>
    <w:uiPriority w:val="39"/>
    <w:unhideWhenUsed/>
    <w:pPr>
      <w:ind w:left="960"/>
    </w:pPr>
    <w:rPr>
      <w:rFonts w:asciiTheme="minorHAnsi" w:hAnsiTheme="minorHAnsi"/>
      <w:sz w:val="20"/>
      <w:szCs w:val="20"/>
    </w:rPr>
  </w:style>
  <w:style w:type="paragraph" w:styleId="1011">
    <w:name w:val="toc 6"/>
    <w:basedOn w:val="804"/>
    <w:next w:val="804"/>
    <w:uiPriority w:val="39"/>
    <w:unhideWhenUsed/>
    <w:pPr>
      <w:ind w:left="1200"/>
    </w:pPr>
    <w:rPr>
      <w:rFonts w:asciiTheme="minorHAnsi" w:hAnsiTheme="minorHAnsi"/>
      <w:sz w:val="20"/>
      <w:szCs w:val="20"/>
    </w:rPr>
  </w:style>
  <w:style w:type="paragraph" w:styleId="1012">
    <w:name w:val="toc 7"/>
    <w:basedOn w:val="804"/>
    <w:next w:val="804"/>
    <w:uiPriority w:val="39"/>
    <w:unhideWhenUsed/>
    <w:pPr>
      <w:ind w:left="1440"/>
    </w:pPr>
    <w:rPr>
      <w:rFonts w:asciiTheme="minorHAnsi" w:hAnsiTheme="minorHAnsi"/>
      <w:sz w:val="20"/>
      <w:szCs w:val="20"/>
    </w:rPr>
  </w:style>
  <w:style w:type="paragraph" w:styleId="1013">
    <w:name w:val="toc 8"/>
    <w:basedOn w:val="804"/>
    <w:next w:val="804"/>
    <w:uiPriority w:val="39"/>
    <w:unhideWhenUsed/>
    <w:pPr>
      <w:ind w:left="1680"/>
    </w:pPr>
    <w:rPr>
      <w:rFonts w:asciiTheme="minorHAnsi" w:hAnsiTheme="minorHAnsi"/>
      <w:sz w:val="20"/>
      <w:szCs w:val="20"/>
    </w:rPr>
  </w:style>
  <w:style w:type="paragraph" w:styleId="1014">
    <w:name w:val="toc 9"/>
    <w:basedOn w:val="804"/>
    <w:next w:val="804"/>
    <w:uiPriority w:val="39"/>
    <w:unhideWhenUsed/>
    <w:pPr>
      <w:ind w:left="1920"/>
    </w:pPr>
    <w:rPr>
      <w:rFonts w:asciiTheme="minorHAnsi" w:hAnsiTheme="minorHAnsi"/>
      <w:sz w:val="20"/>
      <w:szCs w:val="20"/>
    </w:rPr>
  </w:style>
  <w:style w:type="table" w:styleId="1015" w:customStyle="1">
    <w:name w:val="Сетка таблицы12"/>
    <w:basedOn w:val="815"/>
    <w:next w:val="988"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213E5-A027-4DFF-B4E8-1DD09AC3C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Гуляева Анна Викторовна</dc:creator>
  <cp:keywords/>
  <dc:description/>
  <cp:lastModifiedBy>tayurskaya_en</cp:lastModifiedBy>
  <cp:revision>114</cp:revision>
  <dcterms:created xsi:type="dcterms:W3CDTF">2023-01-19T07:51:00Z</dcterms:created>
  <dcterms:modified xsi:type="dcterms:W3CDTF">2026-08-19T00:21:50Z</dcterms:modified>
</cp:coreProperties>
</file>